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w w:val="90"/>
          <w:sz w:val="36"/>
          <w:szCs w:val="20"/>
        </w:rPr>
      </w:pPr>
      <w:r>
        <w:rPr>
          <w:rFonts w:hint="eastAsia" w:ascii="黑体" w:hAnsi="黑体" w:eastAsia="黑体"/>
          <w:w w:val="90"/>
          <w:sz w:val="36"/>
          <w:szCs w:val="20"/>
        </w:rPr>
        <w:t>《南庄大道（佛山一环至佛开高速段）片区控制性详细规划</w:t>
      </w:r>
      <w:r>
        <w:rPr>
          <w:rFonts w:hint="eastAsia" w:ascii="黑体" w:hAnsi="黑体" w:eastAsia="黑体"/>
          <w:w w:val="90"/>
          <w:sz w:val="36"/>
          <w:szCs w:val="20"/>
          <w:lang w:eastAsia="zh-CN"/>
        </w:rPr>
        <w:t>》</w:t>
      </w:r>
      <w:r>
        <w:rPr>
          <w:rFonts w:hint="eastAsia" w:ascii="黑体" w:hAnsi="黑体" w:eastAsia="黑体"/>
          <w:w w:val="90"/>
          <w:sz w:val="36"/>
          <w:szCs w:val="20"/>
        </w:rPr>
        <w:t>NZDD-02-15地块局部调整公示文件</w:t>
      </w:r>
    </w:p>
    <w:p>
      <w:pPr>
        <w:spacing w:line="360" w:lineRule="auto"/>
        <w:jc w:val="center"/>
        <w:rPr>
          <w:rFonts w:ascii="黑体" w:hAnsi="黑体" w:eastAsia="黑体"/>
          <w:w w:val="90"/>
          <w:sz w:val="36"/>
          <w:szCs w:val="20"/>
        </w:rPr>
      </w:pPr>
    </w:p>
    <w:p>
      <w:pPr>
        <w:pStyle w:val="2"/>
        <w:numPr>
          <w:ilvl w:val="0"/>
          <w:numId w:val="1"/>
        </w:numPr>
        <w:spacing w:line="276" w:lineRule="auto"/>
      </w:pPr>
      <w:r>
        <w:rPr>
          <w:rFonts w:hint="eastAsia"/>
        </w:rPr>
        <w:t>项目概况</w:t>
      </w:r>
    </w:p>
    <w:p>
      <w:pPr>
        <w:pStyle w:val="11"/>
        <w:spacing w:before="156" w:beforeLines="50" w:after="156" w:afterLines="50" w:line="360" w:lineRule="auto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本次拟局部调整范围位于南庄镇南庄大道片区,毗邻南庄大道，周边对外交通便捷。局部调整地块位于</w:t>
      </w:r>
      <w:r>
        <w:rPr>
          <w:rFonts w:hint="eastAsia" w:eastAsia="宋体"/>
          <w:sz w:val="28"/>
          <w:szCs w:val="28"/>
          <w:lang w:eastAsia="zh-CN"/>
        </w:rPr>
        <w:t>经</w:t>
      </w:r>
      <w:r>
        <w:rPr>
          <w:rFonts w:hint="eastAsia" w:eastAsia="宋体"/>
          <w:sz w:val="28"/>
          <w:szCs w:val="28"/>
        </w:rPr>
        <w:t>市人民政府批准的《</w:t>
      </w:r>
      <w:r>
        <w:rPr>
          <w:rFonts w:hint="eastAsia" w:eastAsia="宋体"/>
          <w:sz w:val="28"/>
          <w:szCs w:val="28"/>
          <w:lang w:val="en-US" w:eastAsia="zh-CN"/>
        </w:rPr>
        <w:t>&lt;</w:t>
      </w:r>
      <w:r>
        <w:rPr>
          <w:rFonts w:hint="eastAsia" w:eastAsia="宋体"/>
          <w:sz w:val="28"/>
          <w:szCs w:val="28"/>
        </w:rPr>
        <w:t>南庄大道（佛山一环至佛开高速段）片区控制性详细规划</w:t>
      </w:r>
      <w:r>
        <w:rPr>
          <w:rFonts w:hint="eastAsia" w:eastAsia="宋体"/>
          <w:sz w:val="28"/>
          <w:szCs w:val="28"/>
          <w:lang w:val="en-US" w:eastAsia="zh-CN"/>
        </w:rPr>
        <w:t>&gt;</w:t>
      </w:r>
      <w:r>
        <w:rPr>
          <w:rFonts w:hint="eastAsia" w:eastAsia="宋体"/>
          <w:sz w:val="28"/>
          <w:szCs w:val="28"/>
        </w:rPr>
        <w:t>NZDD-02-15、NZDD-03-04地块规划调整》</w:t>
      </w:r>
      <w:r>
        <w:rPr>
          <w:rFonts w:hint="eastAsia" w:eastAsia="宋体"/>
          <w:sz w:val="28"/>
          <w:szCs w:val="28"/>
          <w:lang w:eastAsia="zh-CN"/>
        </w:rPr>
        <w:t>中</w:t>
      </w:r>
      <w:r>
        <w:rPr>
          <w:rFonts w:hint="eastAsia" w:eastAsia="宋体"/>
          <w:sz w:val="28"/>
          <w:szCs w:val="28"/>
        </w:rPr>
        <w:t>。根据该法定控规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 w:eastAsia="宋体"/>
          <w:sz w:val="28"/>
          <w:szCs w:val="28"/>
        </w:rPr>
        <w:t>规划范围内</w:t>
      </w:r>
      <w:r>
        <w:rPr>
          <w:rFonts w:hint="eastAsia" w:eastAsia="宋体"/>
          <w:sz w:val="28"/>
          <w:szCs w:val="28"/>
          <w:lang w:eastAsia="zh-CN"/>
        </w:rPr>
        <w:t>以</w:t>
      </w:r>
      <w:r>
        <w:rPr>
          <w:rFonts w:hint="eastAsia" w:eastAsia="宋体"/>
          <w:sz w:val="28"/>
          <w:szCs w:val="28"/>
        </w:rPr>
        <w:t>二类居住用地和商业商务用地</w:t>
      </w:r>
      <w:r>
        <w:rPr>
          <w:rFonts w:hint="eastAsia" w:eastAsia="宋体"/>
          <w:sz w:val="28"/>
          <w:szCs w:val="28"/>
          <w:lang w:eastAsia="zh-CN"/>
        </w:rPr>
        <w:t>等</w:t>
      </w:r>
      <w:r>
        <w:rPr>
          <w:rFonts w:hint="eastAsia" w:eastAsia="宋体"/>
          <w:sz w:val="28"/>
          <w:szCs w:val="28"/>
        </w:rPr>
        <w:t>为主，规划总用地范围约为17公顷。</w:t>
      </w:r>
    </w:p>
    <w:p>
      <w:pPr>
        <w:pStyle w:val="11"/>
        <w:spacing w:before="156" w:beforeLines="50" w:after="156" w:afterLines="50" w:line="360" w:lineRule="auto"/>
        <w:ind w:firstLine="789" w:firstLineChars="282"/>
        <w:jc w:val="center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drawing>
          <wp:inline distT="0" distB="0" distL="114300" distR="114300">
            <wp:extent cx="4161155" cy="3516630"/>
            <wp:effectExtent l="0" t="0" r="10795" b="7620"/>
            <wp:docPr id="2" name="图片 2" descr="15790555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905554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before="156" w:beforeLines="50" w:after="156" w:afterLines="50" w:line="360" w:lineRule="auto"/>
        <w:ind w:firstLine="679" w:firstLineChars="282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图1：局部调整在禅城区的区位示意</w:t>
      </w:r>
    </w:p>
    <w:p>
      <w:pPr>
        <w:pStyle w:val="11"/>
        <w:spacing w:before="156" w:beforeLines="50" w:after="156" w:afterLines="50" w:line="360" w:lineRule="auto"/>
        <w:ind w:firstLine="789" w:firstLineChars="282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为增加片区城市活力，盘活现有实体经济，根据南庄镇的发展诉求，在满足</w:t>
      </w:r>
      <w:r>
        <w:rPr>
          <w:rFonts w:hint="eastAsia" w:eastAsia="宋体"/>
          <w:sz w:val="28"/>
          <w:szCs w:val="28"/>
          <w:lang w:eastAsia="zh-CN"/>
        </w:rPr>
        <w:t>相关管理规定和</w:t>
      </w:r>
      <w:r>
        <w:rPr>
          <w:rFonts w:hint="eastAsia" w:eastAsia="宋体"/>
          <w:sz w:val="28"/>
          <w:szCs w:val="28"/>
        </w:rPr>
        <w:t>规范</w:t>
      </w:r>
      <w:r>
        <w:rPr>
          <w:rFonts w:hint="eastAsia" w:eastAsia="宋体"/>
          <w:sz w:val="28"/>
          <w:szCs w:val="28"/>
          <w:lang w:eastAsia="zh-CN"/>
        </w:rPr>
        <w:t>等</w:t>
      </w:r>
      <w:r>
        <w:rPr>
          <w:rFonts w:hint="eastAsia" w:eastAsia="宋体"/>
          <w:sz w:val="28"/>
          <w:szCs w:val="28"/>
        </w:rPr>
        <w:t>基础上，</w:t>
      </w:r>
      <w:r>
        <w:rPr>
          <w:rFonts w:hint="eastAsia" w:eastAsia="宋体"/>
          <w:sz w:val="28"/>
          <w:szCs w:val="28"/>
          <w:lang w:eastAsia="zh-CN"/>
        </w:rPr>
        <w:t>拟</w:t>
      </w:r>
      <w:r>
        <w:rPr>
          <w:rFonts w:hint="eastAsia" w:eastAsia="宋体"/>
          <w:sz w:val="28"/>
          <w:szCs w:val="28"/>
        </w:rPr>
        <w:t>优化用地规划布局，合理配置地块开发容量，</w:t>
      </w:r>
      <w:r>
        <w:rPr>
          <w:rFonts w:hint="eastAsia" w:eastAsia="宋体"/>
          <w:sz w:val="28"/>
          <w:szCs w:val="28"/>
          <w:lang w:eastAsia="zh-CN"/>
        </w:rPr>
        <w:t>为地块开发</w:t>
      </w:r>
      <w:r>
        <w:rPr>
          <w:rFonts w:hint="eastAsia" w:eastAsia="宋体"/>
          <w:sz w:val="28"/>
          <w:szCs w:val="28"/>
        </w:rPr>
        <w:t>提供法定的管理依据。</w:t>
      </w: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二、规划依据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（1）《中华人民共和国城乡规划法》； 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（2）《城市规划编制办法》； 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（3）《城市用地分类与规划建设用地标准》（GB50137-2011）； 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（4）《广东省城市控制性详细规划管理条例》；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（5）《佛山市城市总体规划（2011-2020）》；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（6）《中华人民共和国土地管理法》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（7）《广东省城乡规划条例》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（8）《广东省城市控制性详细规划编制指引》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（9）《佛山市禅城区土地利用总体规划(2010-2020)》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（10）《佛山市通风廊道专项规划（2018-2035）》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（11）《佛山市城市轨道交通线网规划修编》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（12）《佛山市绿地绿线整合规划（2015-2020）》；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（13）《佛山市城市生态控制线划定规划》；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（14）《佛山市控制性详细规划管理工作规程》；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（15）《佛山市城市规划管理技术规定》；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（16）《佛山市城市蓝线划定规划》；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（17）《南庄大道（佛山一环至佛开高速段）片区控制性详细规划》；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（18）《南庄大道（佛山一环至佛开高速段）片区控制性详细规划》NZDD-02-15、NZDD-03-04地块规划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调整</w:t>
      </w:r>
      <w:r>
        <w:rPr>
          <w:rFonts w:hint="eastAsia" w:ascii="宋体" w:hAnsi="宋体" w:cs="宋体"/>
          <w:color w:val="000000"/>
          <w:sz w:val="28"/>
          <w:szCs w:val="28"/>
        </w:rPr>
        <w:t>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（19）国家、省、市其他相关规范、规定。</w:t>
      </w: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三、规划调整主要内容</w:t>
      </w:r>
    </w:p>
    <w:p>
      <w:pPr>
        <w:spacing w:before="120" w:after="120"/>
        <w:ind w:firstLine="56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1、拟将规划编码NZDD-02-15D地块中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部分</w:t>
      </w:r>
      <w:r>
        <w:rPr>
          <w:rFonts w:hint="eastAsia" w:ascii="宋体" w:hAnsi="宋体" w:cs="宋体"/>
          <w:color w:val="000000"/>
          <w:sz w:val="28"/>
          <w:szCs w:val="28"/>
        </w:rPr>
        <w:t>用地规划用地性质由商业商务用地调整为二类居住用地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2、将原地块</w:t>
      </w:r>
      <w:r>
        <w:rPr>
          <w:rFonts w:hint="eastAsia" w:ascii="宋体" w:hAnsi="宋体" w:cs="宋体"/>
          <w:color w:val="000000"/>
          <w:sz w:val="28"/>
          <w:szCs w:val="28"/>
        </w:rPr>
        <w:t>规划编码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为</w:t>
      </w:r>
      <w:r>
        <w:rPr>
          <w:rFonts w:hint="eastAsia" w:ascii="宋体" w:hAnsi="宋体" w:cs="宋体"/>
          <w:color w:val="000000"/>
          <w:sz w:val="28"/>
          <w:szCs w:val="28"/>
        </w:rPr>
        <w:t>NZDD-02-15C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以及</w:t>
      </w:r>
      <w:r>
        <w:rPr>
          <w:rFonts w:hint="eastAsia" w:ascii="宋体" w:hAnsi="宋体" w:cs="宋体"/>
          <w:color w:val="000000"/>
          <w:sz w:val="28"/>
          <w:szCs w:val="28"/>
        </w:rPr>
        <w:t>NZDD-02-15D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部分</w:t>
      </w:r>
      <w:r>
        <w:rPr>
          <w:rFonts w:hint="eastAsia" w:ascii="宋体" w:hAnsi="宋体" w:cs="宋体"/>
          <w:color w:val="000000"/>
          <w:sz w:val="28"/>
          <w:szCs w:val="28"/>
        </w:rPr>
        <w:t>用地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合并规划编码为</w:t>
      </w:r>
      <w:r>
        <w:rPr>
          <w:rFonts w:hint="eastAsia" w:ascii="宋体" w:hAnsi="宋体" w:cs="宋体"/>
          <w:color w:val="000000"/>
          <w:sz w:val="28"/>
          <w:szCs w:val="28"/>
        </w:rPr>
        <w:t>NZDD-02-15C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地块，并相应调整地块面积；</w:t>
      </w:r>
    </w:p>
    <w:p>
      <w:pPr>
        <w:spacing w:before="120" w:after="120"/>
        <w:ind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地块编码及面积调整后，</w:t>
      </w:r>
      <w:r>
        <w:rPr>
          <w:rFonts w:hint="eastAsia" w:ascii="宋体" w:hAnsi="宋体" w:cs="宋体"/>
          <w:color w:val="000000"/>
          <w:sz w:val="28"/>
          <w:szCs w:val="28"/>
        </w:rPr>
        <w:t>拟提高规划编码NZDD-02-15A、NZDD-02-15C地块的容积率指标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至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3.0</w:t>
      </w:r>
      <w:r>
        <w:rPr>
          <w:rFonts w:hint="eastAsia" w:ascii="宋体" w:hAnsi="宋体" w:cs="宋体"/>
          <w:color w:val="000000"/>
          <w:sz w:val="28"/>
          <w:szCs w:val="28"/>
        </w:rPr>
        <w:t>，以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适应</w:t>
      </w:r>
      <w:r>
        <w:rPr>
          <w:rFonts w:hint="eastAsia" w:ascii="宋体" w:hAnsi="宋体" w:cs="宋体"/>
          <w:color w:val="000000"/>
          <w:sz w:val="28"/>
          <w:szCs w:val="28"/>
        </w:rPr>
        <w:t>土地供应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市场变化</w:t>
      </w:r>
      <w:r>
        <w:rPr>
          <w:rFonts w:hint="eastAsia" w:ascii="宋体" w:hAnsi="宋体" w:cs="宋体"/>
          <w:color w:val="000000"/>
          <w:sz w:val="28"/>
          <w:szCs w:val="28"/>
        </w:rPr>
        <w:t>，集约节约利用土地；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4、进一步核算调整后人口规模，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优化调整</w:t>
      </w:r>
      <w:r>
        <w:rPr>
          <w:rFonts w:hint="eastAsia" w:ascii="宋体" w:hAnsi="宋体" w:cs="宋体"/>
          <w:color w:val="000000"/>
          <w:sz w:val="28"/>
          <w:szCs w:val="28"/>
        </w:rPr>
        <w:t>公共绿地、教育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、文化</w:t>
      </w:r>
      <w:r>
        <w:rPr>
          <w:rFonts w:hint="eastAsia" w:ascii="宋体" w:hAnsi="宋体" w:cs="宋体"/>
          <w:color w:val="000000"/>
          <w:sz w:val="28"/>
          <w:szCs w:val="28"/>
        </w:rPr>
        <w:t>等配套设施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布局</w:t>
      </w:r>
      <w:r>
        <w:rPr>
          <w:rFonts w:hint="eastAsia" w:ascii="宋体" w:hAnsi="宋体" w:cs="宋体"/>
          <w:color w:val="000000"/>
          <w:sz w:val="28"/>
          <w:szCs w:val="28"/>
        </w:rPr>
        <w:t>；</w:t>
      </w:r>
    </w:p>
    <w:p>
      <w:pPr>
        <w:spacing w:before="120" w:after="120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5、对地块涉及轨道控制保护区、通风廊道等内容按相关的规范、标准明确控制要求。</w:t>
      </w: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  <w:rPr>
          <w:rFonts w:hint="eastAsia" w:eastAsiaTheme="minorEastAsia"/>
          <w:lang w:eastAsia="zh-CN"/>
        </w:rPr>
      </w:pPr>
    </w:p>
    <w:p>
      <w:pPr>
        <w:spacing w:before="120" w:after="120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-485775</wp:posOffset>
            </wp:positionH>
            <wp:positionV relativeFrom="page">
              <wp:posOffset>977265</wp:posOffset>
            </wp:positionV>
            <wp:extent cx="6364605" cy="7957820"/>
            <wp:effectExtent l="0" t="0" r="17145" b="5080"/>
            <wp:wrapNone/>
            <wp:docPr id="1" name="图片 1" descr="02-20-01-19南庄大道-海盛-调整前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-20-01-19南庄大道-海盛-调整前-Mode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after="120"/>
      </w:pPr>
    </w:p>
    <w:p>
      <w:pPr>
        <w:spacing w:before="120" w:after="120"/>
        <w:rPr>
          <w:rFonts w:hint="eastAsia" w:eastAsiaTheme="minorEastAsia"/>
          <w:lang w:eastAsia="zh-CN"/>
        </w:rPr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</w:pPr>
    </w:p>
    <w:p>
      <w:pPr>
        <w:spacing w:before="120" w:after="120"/>
        <w:ind w:firstLine="560"/>
        <w:jc w:val="center"/>
        <w:rPr>
          <w:rFonts w:hint="eastAsia"/>
          <w:b/>
          <w:bCs/>
          <w:sz w:val="24"/>
          <w:szCs w:val="24"/>
        </w:rPr>
      </w:pPr>
    </w:p>
    <w:p>
      <w:pPr>
        <w:spacing w:before="120" w:after="120"/>
        <w:ind w:firstLine="560"/>
        <w:jc w:val="center"/>
        <w:rPr>
          <w:rFonts w:hint="eastAsia"/>
          <w:b/>
          <w:bCs/>
          <w:sz w:val="24"/>
          <w:szCs w:val="24"/>
        </w:rPr>
      </w:pPr>
    </w:p>
    <w:p>
      <w:pPr>
        <w:spacing w:before="120" w:after="120"/>
        <w:ind w:firstLine="560"/>
        <w:jc w:val="center"/>
        <w:rPr>
          <w:rFonts w:hint="eastAsia"/>
          <w:b/>
          <w:bCs/>
          <w:sz w:val="24"/>
          <w:szCs w:val="24"/>
        </w:rPr>
      </w:pPr>
    </w:p>
    <w:p>
      <w:pPr>
        <w:spacing w:before="120" w:after="120"/>
        <w:ind w:firstLine="560"/>
        <w:jc w:val="center"/>
        <w:rPr>
          <w:rStyle w:val="13"/>
        </w:rPr>
      </w:pPr>
      <w:r>
        <w:rPr>
          <w:rFonts w:hint="eastAsia"/>
          <w:b/>
          <w:bCs/>
          <w:sz w:val="24"/>
          <w:szCs w:val="24"/>
        </w:rPr>
        <w:t>图2：调整前规划图</w:t>
      </w:r>
    </w:p>
    <w:p>
      <w:pPr>
        <w:spacing w:before="120" w:after="120"/>
        <w:ind w:firstLine="560"/>
        <w:jc w:val="center"/>
        <w:rPr>
          <w:rStyle w:val="13"/>
          <w:color w:val="FF0000"/>
        </w:rPr>
      </w:pPr>
    </w:p>
    <w:p>
      <w:pPr>
        <w:spacing w:line="276" w:lineRule="auto"/>
        <w:jc w:val="left"/>
        <w:rPr>
          <w:rFonts w:hint="eastAsia" w:ascii="宋体" w:hAnsi="宋体" w:eastAsia="宋体" w:cs="Arial"/>
          <w:sz w:val="28"/>
          <w:lang w:eastAsia="zh-CN"/>
        </w:rPr>
      </w:pPr>
      <w:r>
        <w:rPr>
          <w:rFonts w:hint="eastAsia" w:ascii="宋体" w:hAnsi="宋体" w:eastAsia="宋体" w:cs="Arial"/>
          <w:sz w:val="28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1005840</wp:posOffset>
            </wp:positionV>
            <wp:extent cx="5241925" cy="6552565"/>
            <wp:effectExtent l="0" t="0" r="15875" b="635"/>
            <wp:wrapNone/>
            <wp:docPr id="3" name="图片 3" descr="03-20-01-19南庄大道-海盛-调整后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-20-01-19南庄大道-海盛-调整后-Mode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jc w:val="left"/>
        <w:rPr>
          <w:rFonts w:hint="eastAsia" w:ascii="宋体" w:hAnsi="宋体" w:eastAsia="宋体" w:cs="Arial"/>
          <w:sz w:val="28"/>
          <w:lang w:eastAsia="zh-CN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hint="eastAsia" w:ascii="宋体" w:hAnsi="宋体" w:eastAsia="宋体" w:cs="Arial"/>
          <w:sz w:val="28"/>
          <w:lang w:eastAsia="zh-CN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  <w:bookmarkStart w:id="0" w:name="_GoBack"/>
      <w:bookmarkEnd w:id="0"/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8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图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</w:rPr>
        <w:t>：调整后规划图</w:t>
      </w: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p>
      <w:pPr>
        <w:pStyle w:val="6"/>
        <w:ind w:firstLine="3012" w:firstLineChars="1250"/>
        <w:rPr>
          <w:rFonts w:hint="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8E5"/>
    <w:multiLevelType w:val="multilevel"/>
    <w:tmpl w:val="117848E5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9"/>
    <w:rsid w:val="000071D8"/>
    <w:rsid w:val="000149EB"/>
    <w:rsid w:val="00020CD7"/>
    <w:rsid w:val="00025D43"/>
    <w:rsid w:val="00044C0C"/>
    <w:rsid w:val="00063598"/>
    <w:rsid w:val="00074B53"/>
    <w:rsid w:val="00083AC0"/>
    <w:rsid w:val="00091EE5"/>
    <w:rsid w:val="000D1D39"/>
    <w:rsid w:val="000D36CC"/>
    <w:rsid w:val="0010354E"/>
    <w:rsid w:val="001361C8"/>
    <w:rsid w:val="00146813"/>
    <w:rsid w:val="0016424C"/>
    <w:rsid w:val="001B6505"/>
    <w:rsid w:val="001C195F"/>
    <w:rsid w:val="001D410B"/>
    <w:rsid w:val="001D7696"/>
    <w:rsid w:val="002068AC"/>
    <w:rsid w:val="00211327"/>
    <w:rsid w:val="00211A45"/>
    <w:rsid w:val="002304C1"/>
    <w:rsid w:val="002613A3"/>
    <w:rsid w:val="00265B8E"/>
    <w:rsid w:val="0027384B"/>
    <w:rsid w:val="00283A49"/>
    <w:rsid w:val="00283FB7"/>
    <w:rsid w:val="002F5AA0"/>
    <w:rsid w:val="002F5E05"/>
    <w:rsid w:val="00301165"/>
    <w:rsid w:val="00304E1B"/>
    <w:rsid w:val="00311945"/>
    <w:rsid w:val="00342142"/>
    <w:rsid w:val="00342BA5"/>
    <w:rsid w:val="0035074C"/>
    <w:rsid w:val="00352F0D"/>
    <w:rsid w:val="00356C9B"/>
    <w:rsid w:val="003713B2"/>
    <w:rsid w:val="003754EF"/>
    <w:rsid w:val="00387D26"/>
    <w:rsid w:val="003901F3"/>
    <w:rsid w:val="003B5517"/>
    <w:rsid w:val="003D1E0E"/>
    <w:rsid w:val="003F1431"/>
    <w:rsid w:val="00404589"/>
    <w:rsid w:val="004155D0"/>
    <w:rsid w:val="00424D48"/>
    <w:rsid w:val="00440F04"/>
    <w:rsid w:val="004A3A36"/>
    <w:rsid w:val="004A561B"/>
    <w:rsid w:val="004B444C"/>
    <w:rsid w:val="004E354C"/>
    <w:rsid w:val="004E6CA2"/>
    <w:rsid w:val="004F7F13"/>
    <w:rsid w:val="00500257"/>
    <w:rsid w:val="00502CEB"/>
    <w:rsid w:val="00527A6B"/>
    <w:rsid w:val="00547200"/>
    <w:rsid w:val="00553922"/>
    <w:rsid w:val="0058158E"/>
    <w:rsid w:val="00587BAF"/>
    <w:rsid w:val="005B2D1B"/>
    <w:rsid w:val="005C444B"/>
    <w:rsid w:val="005D14E6"/>
    <w:rsid w:val="005D5D94"/>
    <w:rsid w:val="0061020C"/>
    <w:rsid w:val="00617979"/>
    <w:rsid w:val="00625F6C"/>
    <w:rsid w:val="00635352"/>
    <w:rsid w:val="00652B09"/>
    <w:rsid w:val="00662458"/>
    <w:rsid w:val="00685572"/>
    <w:rsid w:val="00687E87"/>
    <w:rsid w:val="006956DA"/>
    <w:rsid w:val="006B5760"/>
    <w:rsid w:val="006D4E84"/>
    <w:rsid w:val="00704A87"/>
    <w:rsid w:val="0070678D"/>
    <w:rsid w:val="00734CA9"/>
    <w:rsid w:val="00742045"/>
    <w:rsid w:val="00743137"/>
    <w:rsid w:val="007537AF"/>
    <w:rsid w:val="00772EDE"/>
    <w:rsid w:val="00780491"/>
    <w:rsid w:val="007809B6"/>
    <w:rsid w:val="007867D7"/>
    <w:rsid w:val="0079451A"/>
    <w:rsid w:val="007971F0"/>
    <w:rsid w:val="007E1641"/>
    <w:rsid w:val="00843338"/>
    <w:rsid w:val="008607E1"/>
    <w:rsid w:val="00866D92"/>
    <w:rsid w:val="0087178F"/>
    <w:rsid w:val="00876264"/>
    <w:rsid w:val="00895D3B"/>
    <w:rsid w:val="008B11CC"/>
    <w:rsid w:val="008D3DD0"/>
    <w:rsid w:val="008E4289"/>
    <w:rsid w:val="00903462"/>
    <w:rsid w:val="0090595C"/>
    <w:rsid w:val="00937670"/>
    <w:rsid w:val="00973F3E"/>
    <w:rsid w:val="009B11F2"/>
    <w:rsid w:val="009D1660"/>
    <w:rsid w:val="009F4D20"/>
    <w:rsid w:val="00A25A46"/>
    <w:rsid w:val="00A271EF"/>
    <w:rsid w:val="00A5132B"/>
    <w:rsid w:val="00A56043"/>
    <w:rsid w:val="00A61148"/>
    <w:rsid w:val="00A73EAF"/>
    <w:rsid w:val="00AB5CD7"/>
    <w:rsid w:val="00AD3FDB"/>
    <w:rsid w:val="00AF401B"/>
    <w:rsid w:val="00AF5327"/>
    <w:rsid w:val="00AF64C4"/>
    <w:rsid w:val="00B132F8"/>
    <w:rsid w:val="00B2370D"/>
    <w:rsid w:val="00B25072"/>
    <w:rsid w:val="00B42564"/>
    <w:rsid w:val="00B83290"/>
    <w:rsid w:val="00B839A5"/>
    <w:rsid w:val="00B91D5C"/>
    <w:rsid w:val="00BD40A8"/>
    <w:rsid w:val="00BE392E"/>
    <w:rsid w:val="00C12A64"/>
    <w:rsid w:val="00C21AFD"/>
    <w:rsid w:val="00C313DF"/>
    <w:rsid w:val="00C35CE1"/>
    <w:rsid w:val="00C419EC"/>
    <w:rsid w:val="00C422B2"/>
    <w:rsid w:val="00C47DD7"/>
    <w:rsid w:val="00C806FF"/>
    <w:rsid w:val="00C80DA1"/>
    <w:rsid w:val="00C86C38"/>
    <w:rsid w:val="00C96114"/>
    <w:rsid w:val="00CA49F1"/>
    <w:rsid w:val="00CA66D7"/>
    <w:rsid w:val="00CC423E"/>
    <w:rsid w:val="00CE3529"/>
    <w:rsid w:val="00CE6037"/>
    <w:rsid w:val="00D00B82"/>
    <w:rsid w:val="00D03476"/>
    <w:rsid w:val="00D0467C"/>
    <w:rsid w:val="00D15699"/>
    <w:rsid w:val="00D20716"/>
    <w:rsid w:val="00D217E1"/>
    <w:rsid w:val="00D57835"/>
    <w:rsid w:val="00D80A19"/>
    <w:rsid w:val="00DA19C5"/>
    <w:rsid w:val="00DA3EF9"/>
    <w:rsid w:val="00DF5DA1"/>
    <w:rsid w:val="00E06F08"/>
    <w:rsid w:val="00E276A5"/>
    <w:rsid w:val="00E57057"/>
    <w:rsid w:val="00E60F17"/>
    <w:rsid w:val="00E90CB7"/>
    <w:rsid w:val="00EB6F48"/>
    <w:rsid w:val="00EE6D2B"/>
    <w:rsid w:val="00F279A7"/>
    <w:rsid w:val="00F350FC"/>
    <w:rsid w:val="00F64D46"/>
    <w:rsid w:val="00F65426"/>
    <w:rsid w:val="00F70C1D"/>
    <w:rsid w:val="00F70DFC"/>
    <w:rsid w:val="00F72026"/>
    <w:rsid w:val="00F81EA3"/>
    <w:rsid w:val="00F96E97"/>
    <w:rsid w:val="00FC70AE"/>
    <w:rsid w:val="00FD1F45"/>
    <w:rsid w:val="00FE16C2"/>
    <w:rsid w:val="046F5808"/>
    <w:rsid w:val="054A69DC"/>
    <w:rsid w:val="08592BF8"/>
    <w:rsid w:val="0AD8648F"/>
    <w:rsid w:val="0D631FDA"/>
    <w:rsid w:val="0F566FEA"/>
    <w:rsid w:val="0FEE3F69"/>
    <w:rsid w:val="104B3573"/>
    <w:rsid w:val="10F53099"/>
    <w:rsid w:val="12343ACC"/>
    <w:rsid w:val="12931CD5"/>
    <w:rsid w:val="14947C01"/>
    <w:rsid w:val="19DF70EA"/>
    <w:rsid w:val="1B2213B6"/>
    <w:rsid w:val="1C884DD0"/>
    <w:rsid w:val="1F1037BC"/>
    <w:rsid w:val="20913BD8"/>
    <w:rsid w:val="24A95FEC"/>
    <w:rsid w:val="25385E68"/>
    <w:rsid w:val="2B22556B"/>
    <w:rsid w:val="2CB26018"/>
    <w:rsid w:val="304271EF"/>
    <w:rsid w:val="30436660"/>
    <w:rsid w:val="326E0E09"/>
    <w:rsid w:val="36974D68"/>
    <w:rsid w:val="36BB462B"/>
    <w:rsid w:val="3B693B65"/>
    <w:rsid w:val="41C46A8F"/>
    <w:rsid w:val="4C0E774F"/>
    <w:rsid w:val="50CC570D"/>
    <w:rsid w:val="52F41375"/>
    <w:rsid w:val="53D77E83"/>
    <w:rsid w:val="5E234C6A"/>
    <w:rsid w:val="5E66682B"/>
    <w:rsid w:val="6BBB50D2"/>
    <w:rsid w:val="6BF913FD"/>
    <w:rsid w:val="6E810A39"/>
    <w:rsid w:val="6F3B4C58"/>
    <w:rsid w:val="72555DA5"/>
    <w:rsid w:val="72806739"/>
    <w:rsid w:val="728A3DD7"/>
    <w:rsid w:val="72BB0D86"/>
    <w:rsid w:val="76A97874"/>
    <w:rsid w:val="772D7ACD"/>
    <w:rsid w:val="7E250A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120" w:after="12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120" w:after="120" w:line="360" w:lineRule="auto"/>
      <w:outlineLvl w:val="2"/>
    </w:pPr>
    <w:rPr>
      <w:b/>
      <w:bCs/>
      <w:sz w:val="28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6"/>
    <w:unhideWhenUsed/>
    <w:qFormat/>
    <w:uiPriority w:val="99"/>
    <w:rPr>
      <w:b/>
      <w:bCs/>
    </w:rPr>
  </w:style>
  <w:style w:type="paragraph" w:styleId="6">
    <w:name w:val="annotation text"/>
    <w:basedOn w:val="1"/>
    <w:link w:val="25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8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2"/>
    <w:link w:val="2"/>
    <w:qFormat/>
    <w:uiPriority w:val="9"/>
    <w:rPr>
      <w:b/>
      <w:bCs/>
      <w:kern w:val="44"/>
      <w:sz w:val="32"/>
      <w:szCs w:val="44"/>
    </w:rPr>
  </w:style>
  <w:style w:type="character" w:customStyle="1" w:styleId="21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22">
    <w:name w:val="标题 3 Char"/>
    <w:basedOn w:val="12"/>
    <w:link w:val="4"/>
    <w:qFormat/>
    <w:uiPriority w:val="9"/>
    <w:rPr>
      <w:b/>
      <w:bCs/>
      <w:sz w:val="28"/>
      <w:szCs w:val="32"/>
    </w:rPr>
  </w:style>
  <w:style w:type="character" w:customStyle="1" w:styleId="23">
    <w:name w:val="日期 Char"/>
    <w:basedOn w:val="12"/>
    <w:link w:val="7"/>
    <w:semiHidden/>
    <w:qFormat/>
    <w:uiPriority w:val="99"/>
  </w:style>
  <w:style w:type="paragraph" w:customStyle="1" w:styleId="24">
    <w:name w:val="p16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5">
    <w:name w:val="批注文字 Char"/>
    <w:basedOn w:val="12"/>
    <w:link w:val="6"/>
    <w:semiHidden/>
    <w:qFormat/>
    <w:uiPriority w:val="99"/>
    <w:rPr>
      <w:kern w:val="2"/>
      <w:sz w:val="21"/>
      <w:szCs w:val="22"/>
    </w:rPr>
  </w:style>
  <w:style w:type="character" w:customStyle="1" w:styleId="26">
    <w:name w:val="批注主题 Char"/>
    <w:basedOn w:val="25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5</Pages>
  <Words>170</Words>
  <Characters>972</Characters>
  <Lines>8</Lines>
  <Paragraphs>2</Paragraphs>
  <ScaleCrop>false</ScaleCrop>
  <LinksUpToDate>false</LinksUpToDate>
  <CharactersWithSpaces>1140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2020-01-09T09:05:00Z</dcterms:created>
  <dc:creator>大地系统</dc:creator>
  <cp:lastModifiedBy>梁建荣</cp:lastModifiedBy>
  <cp:lastPrinted>2020-01-19T01:57:00Z</cp:lastPrinted>
  <dcterms:modified xsi:type="dcterms:W3CDTF">2020-01-22T06:13:14Z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