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+ mn-cs"/>
          <w:b/>
          <w:kern w:val="24"/>
          <w:sz w:val="32"/>
          <w:szCs w:val="28"/>
          <w:lang w:bidi="ar"/>
        </w:rPr>
      </w:pPr>
      <w:r>
        <w:rPr>
          <w:rFonts w:hint="eastAsia" w:ascii="微软雅黑" w:hAnsi="微软雅黑" w:eastAsia="微软雅黑" w:cs="+ mn-cs"/>
          <w:b/>
          <w:kern w:val="24"/>
          <w:sz w:val="32"/>
          <w:szCs w:val="28"/>
          <w:lang w:bidi="ar"/>
        </w:rPr>
        <w:t>《佛山市禅城区张槎村头村尾片区控制性详细规划》A-03-16地块规划调整</w:t>
      </w:r>
    </w:p>
    <w:p>
      <w:pPr>
        <w:jc w:val="center"/>
        <w:rPr>
          <w:rFonts w:hint="eastAsia" w:ascii="微软雅黑" w:hAnsi="微软雅黑" w:eastAsia="微软雅黑" w:cs="+ mn-cs"/>
          <w:b/>
          <w:kern w:val="24"/>
          <w:sz w:val="32"/>
          <w:szCs w:val="28"/>
          <w:lang w:val="en-US" w:eastAsia="zh-CN" w:bidi="ar"/>
        </w:rPr>
      </w:pPr>
      <w:r>
        <w:rPr>
          <w:rFonts w:hint="eastAsia" w:ascii="微软雅黑" w:hAnsi="微软雅黑" w:eastAsia="微软雅黑" w:cs="+ mn-cs"/>
          <w:b/>
          <w:kern w:val="24"/>
          <w:sz w:val="32"/>
          <w:szCs w:val="28"/>
          <w:lang w:val="en-US" w:eastAsia="zh-CN" w:bidi="ar"/>
        </w:rPr>
        <w:t>社会公示</w:t>
      </w:r>
      <w:bookmarkStart w:id="2" w:name="_GoBack"/>
      <w:bookmarkEnd w:id="2"/>
    </w:p>
    <w:p>
      <w:pPr>
        <w:pStyle w:val="6"/>
        <w:numPr>
          <w:ilvl w:val="0"/>
          <w:numId w:val="1"/>
        </w:numPr>
        <w:spacing w:line="360" w:lineRule="auto"/>
        <w:ind w:firstLine="560"/>
        <w:jc w:val="left"/>
        <w:rPr>
          <w:rFonts w:hint="eastAsia" w:ascii="宋体" w:hAnsi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项目区位</w:t>
      </w:r>
    </w:p>
    <w:p>
      <w:pPr>
        <w:pStyle w:val="6"/>
        <w:numPr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</w:rPr>
        <w:t>项目位于佛山市禅城区张槎街道村头村尾片区，项目地块在兴业路以南，振兴路以北，塱宝西路以西、汾江河的东岸。现状为福能电厂用地。</w:t>
      </w:r>
    </w:p>
    <w:tbl>
      <w:tblPr>
        <w:tblStyle w:val="4"/>
        <w:tblW w:w="8350" w:type="dxa"/>
        <w:tblInd w:w="82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0" w:hRule="atLeast"/>
        </w:trPr>
        <w:tc>
          <w:tcPr>
            <w:tcW w:w="8350" w:type="dxa"/>
            <w:vAlign w:val="top"/>
          </w:tcPr>
          <w:p>
            <w:pPr>
              <w:pStyle w:val="7"/>
              <w:ind w:firstLine="0" w:firstLineChars="0"/>
              <w:jc w:val="center"/>
              <w:rPr>
                <w:rFonts w:ascii="微软雅黑" w:hAnsi="微软雅黑" w:eastAsia="微软雅黑"/>
                <w:sz w:val="32"/>
              </w:rPr>
            </w:pPr>
            <w:r>
              <w:drawing>
                <wp:inline distT="0" distB="0" distL="114300" distR="114300">
                  <wp:extent cx="4998720" cy="3820795"/>
                  <wp:effectExtent l="0" t="0" r="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3434" t="23615" r="15211" b="13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382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8350" w:type="dxa"/>
            <w:vAlign w:val="top"/>
          </w:tcPr>
          <w:p>
            <w:pPr>
              <w:pStyle w:val="7"/>
              <w:spacing w:line="240" w:lineRule="exact"/>
              <w:jc w:val="center"/>
              <w:rPr>
                <w:rFonts w:ascii="微软雅黑" w:hAnsi="微软雅黑" w:eastAsia="微软雅黑"/>
                <w:sz w:val="32"/>
              </w:rPr>
            </w:pPr>
            <w:r>
              <w:rPr>
                <w:rFonts w:hint="eastAsia" w:ascii="微软雅黑" w:hAnsi="微软雅黑" w:eastAsia="微软雅黑"/>
              </w:rPr>
              <w:t>图1-1   地块在禅城区位置图</w:t>
            </w:r>
          </w:p>
        </w:tc>
      </w:tr>
    </w:tbl>
    <w:p>
      <w:pPr>
        <w:pStyle w:val="6"/>
        <w:spacing w:line="360" w:lineRule="auto"/>
        <w:ind w:firstLine="560"/>
        <w:jc w:val="left"/>
        <w:rPr>
          <w:rFonts w:hint="eastAsia" w:ascii="宋体" w:hAnsi="宋体" w:cs="宋体"/>
          <w:sz w:val="28"/>
          <w:szCs w:val="28"/>
        </w:rPr>
      </w:pPr>
    </w:p>
    <w:p>
      <w:pPr>
        <w:pStyle w:val="6"/>
        <w:numPr>
          <w:ilvl w:val="0"/>
          <w:numId w:val="1"/>
        </w:numPr>
        <w:spacing w:line="360" w:lineRule="auto"/>
        <w:ind w:firstLine="560"/>
        <w:jc w:val="left"/>
        <w:rPr>
          <w:rFonts w:hint="eastAsia" w:ascii="宋体" w:hAnsi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调整依据</w:t>
      </w:r>
    </w:p>
    <w:p>
      <w:pPr>
        <w:pStyle w:val="6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《广东省城乡规划条例》；《广东省城市控制性详细规划管理条例》；《广东省城市控制性详细规划编制指引》；《城市用地分类与规划建设用地标准》（GB50137-2011）；《建设用地容积率管理办法》（建规［2012］22 号）；《中小学校设计规范》(GB50099-2011)《佛山市城市规划管理技术规定》（2015年修订版）；《佛山市控制性详细规划编制成果技术准则》；《佛山市控制性详细规划电子数据成果标准》；《佛山市城市总体规划（2011-2020）》；《佛山市禅城区村头村尾片区控制性详细规划》；其它相关法律、法规、规范等。</w:t>
      </w:r>
    </w:p>
    <w:p>
      <w:pPr>
        <w:pStyle w:val="6"/>
        <w:numPr>
          <w:ilvl w:val="0"/>
          <w:numId w:val="1"/>
        </w:numPr>
        <w:spacing w:line="360" w:lineRule="auto"/>
        <w:ind w:firstLine="560"/>
        <w:jc w:val="left"/>
        <w:rPr>
          <w:rFonts w:hint="eastAsia" w:ascii="宋体" w:hAnsi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调整内容</w:t>
      </w:r>
    </w:p>
    <w:p>
      <w:pPr>
        <w:pStyle w:val="6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0" w:name="_Toc450600466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（1）规划工业用地边界调整</w:t>
      </w:r>
      <w:bookmarkEnd w:id="0"/>
    </w:p>
    <w:p>
      <w:pPr>
        <w:pStyle w:val="6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本次规划调整对《控规》规划编码A-03-16中工业用地西北部边界和东北部边界进行调整，在面积不减少的原则下，调整后工业用地边界更加整齐方正，有利于集约节约利用土地及建筑的布局。</w:t>
      </w:r>
    </w:p>
    <w:p>
      <w:pPr>
        <w:pStyle w:val="6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bookmarkStart w:id="1" w:name="_Toc450600467"/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（2）绿地调整</w:t>
      </w:r>
      <w:bookmarkEnd w:id="1"/>
    </w:p>
    <w:p>
      <w:pPr>
        <w:pStyle w:val="6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本次规划调整涉及《控规》中防护绿地和公共绿地边界的调整，为方便说明，规划将绿地的编码分别命名为：A-03-16B1、A-03-16B2和A-03-16C1、A-03-16C2。</w:t>
      </w:r>
    </w:p>
    <w:p>
      <w:pPr>
        <w:pStyle w:val="6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公园绿地面积不减少的前提下，将编码为A-03-16C1、A-03-16C2的两地块共13832平方米的公园绿地整体调整至大地块东北角，调整后公共绿地的面积为13859平方米，比《控规》规划控制公共绿地略有增加。规划调整后绿地可保持较完整的大块绿地布局，有利于公共开放空间的打造。调整后东侧带状绿地宽度50米，北侧绿地宽度36米。</w:t>
      </w:r>
    </w:p>
    <w:p>
      <w:pPr>
        <w:pStyle w:val="6"/>
        <w:numPr>
          <w:ilvl w:val="0"/>
          <w:numId w:val="1"/>
        </w:numPr>
        <w:spacing w:line="360" w:lineRule="auto"/>
        <w:ind w:firstLine="560"/>
        <w:jc w:val="left"/>
        <w:rPr>
          <w:rFonts w:hint="eastAsia" w:ascii="宋体" w:hAnsi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结论</w:t>
      </w:r>
    </w:p>
    <w:p>
      <w:pPr>
        <w:pStyle w:val="6"/>
        <w:numPr>
          <w:ilvl w:val="0"/>
          <w:numId w:val="0"/>
        </w:numPr>
        <w:spacing w:line="360" w:lineRule="auto"/>
        <w:ind w:firstLine="48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本次规划调整以等量、同质、就近为原则，调整后并未影响兴业路南侧的防护绿带，保证了市政走廊的控制要求，提高了公共绿地的交通可达性。调整后增加了地块东北部公共绿地近期实施的可能性。规划调整后工业用地的边界更为整齐，可以有利于厂房建筑的布局，提高了土地利用效率。本次规划调整不涉及周边市政道路、容积率、建筑密度、配套设施调整。本次调整后符合佛山市城市总体规划控制要求。</w:t>
      </w:r>
    </w:p>
    <w:p>
      <w:pPr>
        <w:pStyle w:val="6"/>
        <w:numPr>
          <w:ilvl w:val="0"/>
          <w:numId w:val="0"/>
        </w:numPr>
        <w:spacing w:line="360" w:lineRule="auto"/>
        <w:ind w:firstLine="48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7456805"/>
            <wp:effectExtent l="0" t="0" r="14605" b="10795"/>
            <wp:docPr id="4" name="图片 4" descr="调整前公示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调整前公示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7457440"/>
            <wp:effectExtent l="0" t="0" r="0" b="10160"/>
            <wp:docPr id="5" name="图片 5" descr="调整后公示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调整后公示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before="156" w:beforeLines="50" w:after="156" w:afterLines="50"/>
        <w:ind w:firstLine="482"/>
        <w:rPr>
          <w:color w:val="auto"/>
        </w:rPr>
      </w:pPr>
    </w:p>
    <w:p>
      <w:pPr>
        <w:pStyle w:val="6"/>
        <w:numPr>
          <w:numId w:val="0"/>
        </w:numPr>
        <w:spacing w:line="360" w:lineRule="auto"/>
        <w:ind w:leftChars="200"/>
        <w:jc w:val="left"/>
        <w:rPr>
          <w:rFonts w:ascii="微软雅黑" w:hAnsi="微软雅黑" w:eastAsia="微软雅黑"/>
          <w:sz w:val="24"/>
        </w:rPr>
      </w:pPr>
    </w:p>
    <w:p>
      <w:pPr>
        <w:jc w:val="center"/>
        <w:rPr>
          <w:rFonts w:hint="eastAsia" w:ascii="微软雅黑" w:hAnsi="微软雅黑" w:eastAsia="微软雅黑" w:cs="+ mn-cs"/>
          <w:b/>
          <w:kern w:val="24"/>
          <w:sz w:val="32"/>
          <w:szCs w:val="28"/>
          <w:lang w:val="en-US" w:eastAsia="zh-CN" w:bidi="ar"/>
        </w:rPr>
      </w:pP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+ mn-cs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63661209">
    <w:nsid w:val="573DB299"/>
    <w:multiLevelType w:val="singleLevel"/>
    <w:tmpl w:val="573DB299"/>
    <w:lvl w:ilvl="0" w:tentative="1">
      <w:start w:val="1"/>
      <w:numFmt w:val="chineseCounting"/>
      <w:suff w:val="nothing"/>
      <w:lvlText w:val="%1、"/>
      <w:lvlJc w:val="left"/>
    </w:lvl>
  </w:abstractNum>
  <w:num w:numId="1">
    <w:abstractNumId w:val="14636612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9157AC"/>
    <w:rsid w:val="639157AC"/>
    <w:rsid w:val="7253240B"/>
    <w:rsid w:val="7BD14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6">
    <w:name w:val="_Style 1"/>
    <w:basedOn w:val="1"/>
    <w:qFormat/>
    <w:uiPriority w:val="0"/>
    <w:pPr>
      <w:ind w:firstLine="420" w:firstLineChars="200"/>
    </w:pPr>
  </w:style>
  <w:style w:type="paragraph" w:customStyle="1" w:styleId="7">
    <w:name w:val="_Style 2"/>
    <w:basedOn w:val="1"/>
    <w:qFormat/>
    <w:uiPriority w:val="0"/>
    <w:pPr>
      <w:ind w:firstLine="420" w:firstLineChars="200"/>
    </w:pPr>
  </w:style>
  <w:style w:type="paragraph" w:customStyle="1" w:styleId="8">
    <w:name w:val="_Style 3"/>
    <w:basedOn w:val="1"/>
    <w:qFormat/>
    <w:uiPriority w:val="0"/>
    <w:pPr>
      <w:ind w:firstLine="420" w:firstLineChars="200"/>
    </w:pPr>
  </w:style>
  <w:style w:type="paragraph" w:customStyle="1" w:styleId="9">
    <w:name w:val="正文文字 + 楷体_GB2312"/>
    <w:basedOn w:val="1"/>
    <w:next w:val="1"/>
    <w:uiPriority w:val="0"/>
    <w:pPr>
      <w:topLinePunct/>
      <w:spacing w:line="312" w:lineRule="auto"/>
      <w:ind w:firstLine="480" w:firstLineChars="200"/>
      <w:jc w:val="left"/>
      <w:textAlignment w:val="top"/>
    </w:pPr>
    <w:rPr>
      <w:rFonts w:ascii="宋体" w:hAnsi="宋体" w:eastAsia="宋体" w:cs="Times New Roman"/>
      <w:color w:val="0000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2016-05-19T12:20:00Z</dcterms:created>
  <dc:creator>Administrator</dc:creator>
  <cp:lastModifiedBy>Administrator</cp:lastModifiedBy>
  <dcterms:modified xsi:type="dcterms:W3CDTF">2016-05-19T12:48:59Z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