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bookmarkStart w:id="0" w:name="_GoBack"/>
      <w:bookmarkEnd w:id="0"/>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佛山市南海区狮山镇桃园路以南、信息南路以西地块宗地国有建设用地使用权开发利用监管协议</w:t>
      </w:r>
    </w:p>
    <w:p>
      <w:pPr>
        <w:rPr>
          <w:rFonts w:ascii="仿宋" w:hAnsi="仿宋" w:eastAsia="仿宋" w:cs="仿宋"/>
          <w:sz w:val="32"/>
          <w:szCs w:val="32"/>
        </w:rPr>
      </w:pPr>
      <w:r>
        <w:rPr>
          <w:rFonts w:hint="eastAsia" w:ascii="仿宋" w:hAnsi="仿宋" w:eastAsia="仿宋" w:cs="仿宋"/>
          <w:sz w:val="32"/>
          <w:szCs w:val="32"/>
        </w:rPr>
        <w:t>甲方：佛山高新技术产业开发区管理委员会</w:t>
      </w:r>
    </w:p>
    <w:p>
      <w:pPr>
        <w:rPr>
          <w:rFonts w:ascii="仿宋" w:hAnsi="仿宋" w:eastAsia="仿宋" w:cs="仿宋"/>
          <w:sz w:val="32"/>
          <w:szCs w:val="32"/>
        </w:rPr>
      </w:pPr>
      <w:r>
        <w:rPr>
          <w:rFonts w:hint="eastAsia" w:ascii="仿宋" w:hAnsi="仿宋" w:eastAsia="仿宋" w:cs="仿宋"/>
          <w:sz w:val="32"/>
          <w:szCs w:val="32"/>
        </w:rPr>
        <w:t>乙方：（土地竞得者）</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乙方于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日公开竞得</w:t>
      </w:r>
      <w:r>
        <w:rPr>
          <w:rFonts w:hint="eastAsia" w:ascii="仿宋" w:hAnsi="仿宋" w:eastAsia="仿宋" w:cs="仿宋"/>
          <w:sz w:val="32"/>
          <w:szCs w:val="32"/>
          <w:u w:val="single"/>
        </w:rPr>
        <w:t>佛山市南海区桃园路以南、信息南路以西</w:t>
      </w:r>
      <w:r>
        <w:rPr>
          <w:rFonts w:hint="eastAsia" w:ascii="仿宋" w:hAnsi="仿宋" w:eastAsia="仿宋" w:cs="仿宋"/>
          <w:sz w:val="32"/>
          <w:szCs w:val="32"/>
        </w:rPr>
        <w:t>地块宗地使用权（以下简称“本宗地”），规划编号为</w:t>
      </w:r>
      <w:r>
        <w:rPr>
          <w:rFonts w:hint="eastAsia" w:ascii="仿宋" w:hAnsi="仿宋" w:eastAsia="仿宋" w:cs="仿宋"/>
          <w:sz w:val="32"/>
          <w:szCs w:val="32"/>
          <w:u w:val="single"/>
        </w:rPr>
        <w:t>规划条件（佛山2021000737）</w:t>
      </w:r>
      <w:r>
        <w:rPr>
          <w:rFonts w:hint="eastAsia" w:ascii="仿宋" w:hAnsi="仿宋" w:eastAsia="仿宋" w:cs="仿宋"/>
          <w:sz w:val="32"/>
          <w:szCs w:val="32"/>
        </w:rPr>
        <w:t>，面积为</w:t>
      </w:r>
      <w:r>
        <w:rPr>
          <w:rFonts w:hint="eastAsia" w:ascii="仿宋" w:hAnsi="仿宋" w:eastAsia="仿宋" w:cs="仿宋"/>
          <w:sz w:val="32"/>
          <w:szCs w:val="32"/>
          <w:u w:val="single"/>
        </w:rPr>
        <w:t>40075.48平方米，</w:t>
      </w:r>
      <w:r>
        <w:rPr>
          <w:rFonts w:hint="eastAsia" w:ascii="仿宋" w:hAnsi="仿宋" w:eastAsia="仿宋" w:cs="仿宋"/>
          <w:sz w:val="32"/>
          <w:szCs w:val="32"/>
        </w:rPr>
        <w:t>用地红线图地块编号为</w:t>
      </w:r>
      <w:r>
        <w:rPr>
          <w:rFonts w:hint="eastAsia" w:ascii="仿宋_GB2312" w:hAnsi="Times New Roman" w:eastAsia="仿宋_GB2312" w:cs="Times New Roman"/>
          <w:sz w:val="32"/>
          <w:szCs w:val="32"/>
          <w:u w:val="single"/>
        </w:rPr>
        <w:t>YDCR44060500602041</w:t>
      </w:r>
      <w:r>
        <w:rPr>
          <w:rFonts w:hint="eastAsia" w:ascii="仿宋" w:hAnsi="仿宋" w:eastAsia="仿宋" w:cs="仿宋"/>
          <w:sz w:val="32"/>
          <w:szCs w:val="32"/>
        </w:rPr>
        <w:t>，成交地价款（以下简称“地价款”）总款为人民币大写：</w:t>
      </w:r>
      <w:r>
        <w:rPr>
          <w:rFonts w:hint="eastAsia" w:ascii="仿宋" w:hAnsi="仿宋" w:eastAsia="仿宋" w:cs="仿宋"/>
          <w:sz w:val="32"/>
          <w:szCs w:val="32"/>
          <w:u w:val="single"/>
        </w:rPr>
        <w:t xml:space="preserve">     </w:t>
      </w:r>
      <w:r>
        <w:rPr>
          <w:rFonts w:hint="eastAsia" w:ascii="仿宋" w:hAnsi="仿宋" w:eastAsia="仿宋" w:cs="仿宋"/>
          <w:sz w:val="32"/>
          <w:szCs w:val="32"/>
        </w:rPr>
        <w:t>万元整（小写：￥</w:t>
      </w:r>
      <w:r>
        <w:rPr>
          <w:rFonts w:hint="eastAsia" w:ascii="仿宋" w:hAnsi="仿宋" w:eastAsia="仿宋" w:cs="仿宋"/>
          <w:sz w:val="32"/>
          <w:szCs w:val="32"/>
          <w:u w:val="single"/>
        </w:rPr>
        <w:t xml:space="preserve">     </w:t>
      </w:r>
      <w:r>
        <w:rPr>
          <w:rFonts w:hint="eastAsia" w:ascii="仿宋" w:hAnsi="仿宋" w:eastAsia="仿宋" w:cs="仿宋"/>
          <w:sz w:val="32"/>
          <w:szCs w:val="32"/>
        </w:rPr>
        <w:t>元），土地用途为</w:t>
      </w:r>
      <w:r>
        <w:rPr>
          <w:rFonts w:hint="eastAsia" w:ascii="仿宋" w:hAnsi="仿宋" w:eastAsia="仿宋" w:cs="仿宋"/>
          <w:sz w:val="32"/>
          <w:szCs w:val="32"/>
          <w:u w:val="single"/>
        </w:rPr>
        <w:t>科研用地</w:t>
      </w:r>
      <w:r>
        <w:rPr>
          <w:rFonts w:hint="eastAsia" w:ascii="仿宋" w:hAnsi="仿宋" w:eastAsia="仿宋" w:cs="仿宋"/>
          <w:sz w:val="32"/>
          <w:szCs w:val="32"/>
        </w:rPr>
        <w:t>。</w:t>
      </w:r>
    </w:p>
    <w:p>
      <w:pPr>
        <w:ind w:firstLine="640" w:firstLineChars="200"/>
        <w:rPr>
          <w:rFonts w:ascii="仿宋" w:hAnsi="仿宋" w:eastAsia="仿宋" w:cs="仿宋"/>
          <w:b/>
          <w:sz w:val="32"/>
          <w:szCs w:val="32"/>
        </w:rPr>
      </w:pPr>
      <w:r>
        <w:rPr>
          <w:rFonts w:hint="eastAsia" w:ascii="仿宋" w:hAnsi="仿宋" w:eastAsia="仿宋" w:cs="仿宋"/>
          <w:sz w:val="32"/>
          <w:szCs w:val="32"/>
        </w:rPr>
        <w:t>乙方参与本宗地的竞买，视为乙方（乙方及乙方成立的开发本宗地的全资法人项目公司，以下统称“乙方”）已认同本协议主要内容，甲乙双方在平等自愿的基础上，订立本协议并共同遵守，具体内容如下：</w:t>
      </w:r>
    </w:p>
    <w:p>
      <w:pPr>
        <w:pStyle w:val="9"/>
        <w:numPr>
          <w:ilvl w:val="0"/>
          <w:numId w:val="1"/>
        </w:numPr>
        <w:ind w:firstLineChars="0"/>
        <w:rPr>
          <w:rFonts w:ascii="仿宋" w:hAnsi="仿宋" w:eastAsia="仿宋" w:cs="仿宋"/>
          <w:b/>
          <w:sz w:val="32"/>
          <w:szCs w:val="32"/>
        </w:rPr>
      </w:pPr>
      <w:r>
        <w:rPr>
          <w:rFonts w:hint="eastAsia" w:ascii="仿宋" w:hAnsi="仿宋" w:eastAsia="仿宋" w:cs="仿宋"/>
          <w:b/>
          <w:sz w:val="32"/>
          <w:szCs w:val="32"/>
        </w:rPr>
        <w:t xml:space="preserve">  引入项目要求</w:t>
      </w:r>
    </w:p>
    <w:p>
      <w:pPr>
        <w:spacing w:line="580" w:lineRule="exact"/>
        <w:ind w:firstLine="643" w:firstLineChars="200"/>
        <w:rPr>
          <w:rFonts w:ascii="仿宋" w:hAnsi="仿宋" w:eastAsia="仿宋" w:cs="仿宋"/>
          <w:sz w:val="32"/>
          <w:szCs w:val="32"/>
        </w:rPr>
      </w:pPr>
      <w:r>
        <w:rPr>
          <w:rFonts w:hint="eastAsia" w:ascii="仿宋" w:hAnsi="仿宋" w:eastAsia="仿宋" w:cs="仿宋"/>
          <w:b/>
          <w:sz w:val="32"/>
          <w:szCs w:val="32"/>
        </w:rPr>
        <w:t>（一）产业类型：</w:t>
      </w:r>
      <w:r>
        <w:rPr>
          <w:rFonts w:hint="eastAsia" w:ascii="仿宋" w:hAnsi="仿宋" w:eastAsia="仿宋" w:cs="仿宋"/>
          <w:sz w:val="32"/>
          <w:szCs w:val="32"/>
        </w:rPr>
        <w:t>乙方必须在本宗地上从事或引进研究和试验发展、科技推广和应用服务业、专业技术服务业、互联网和相关服务、软件和信息技术服务业、数字经济、医药制造业等符合佛山高新技术产业开发区高质量发展导向和佛山高新区政策鼓励的科技型企业为主的项目，在完成投资总额后连续经营该项目不少于</w:t>
      </w:r>
      <w:r>
        <w:rPr>
          <w:rFonts w:hint="eastAsia" w:ascii="仿宋" w:hAnsi="仿宋" w:eastAsia="仿宋" w:cs="仿宋"/>
          <w:sz w:val="32"/>
          <w:szCs w:val="32"/>
          <w:lang w:val="en-US" w:eastAsia="zh-CN"/>
        </w:rPr>
        <w:t>5</w:t>
      </w:r>
      <w:r>
        <w:rPr>
          <w:rFonts w:hint="eastAsia" w:ascii="仿宋" w:hAnsi="仿宋" w:eastAsia="仿宋" w:cs="仿宋"/>
          <w:sz w:val="32"/>
          <w:szCs w:val="32"/>
        </w:rPr>
        <w:t>年（或乙方自签订《出让合同》后第</w:t>
      </w:r>
      <w:r>
        <w:rPr>
          <w:rFonts w:hint="eastAsia" w:ascii="仿宋" w:hAnsi="仿宋" w:eastAsia="仿宋" w:cs="仿宋"/>
          <w:sz w:val="32"/>
          <w:szCs w:val="32"/>
          <w:lang w:val="en-US" w:eastAsia="zh-CN"/>
        </w:rPr>
        <w:t>5</w:t>
      </w:r>
      <w:r>
        <w:rPr>
          <w:rFonts w:hint="eastAsia" w:ascii="仿宋" w:hAnsi="仿宋" w:eastAsia="仿宋" w:cs="仿宋"/>
          <w:sz w:val="32"/>
          <w:szCs w:val="32"/>
        </w:rPr>
        <w:t>个完整会计年度内）。</w:t>
      </w:r>
    </w:p>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（二）科技指标： </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zh-CN"/>
        </w:rPr>
        <w:t>1、至少取得1个省级或以上科学技术奖励</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乙方须于地块竣工验收之日起5年内，投产研发的项目成果至少取得1个省级或以上科学技术奖励；</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zh-CN"/>
        </w:rPr>
        <w:t>建设集管理运营中心、结算中心、技术服务中心、科研中心、</w:t>
      </w:r>
      <w:r>
        <w:rPr>
          <w:rFonts w:hint="eastAsia" w:ascii="仿宋" w:hAnsi="仿宋" w:eastAsia="仿宋" w:cs="仿宋"/>
          <w:b/>
          <w:bCs/>
          <w:sz w:val="32"/>
          <w:szCs w:val="32"/>
        </w:rPr>
        <w:t>产研实践中心为一体的企业总部</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乙方须于地块竣工验收之日起5年内建设为集管理运营中心、结算中心、技术服务中心、科研中心、产研实践中心为一体的企业总部。</w:t>
      </w:r>
    </w:p>
    <w:p>
      <w:pPr>
        <w:spacing w:line="580" w:lineRule="exact"/>
        <w:ind w:firstLine="643" w:firstLineChars="200"/>
        <w:rPr>
          <w:rFonts w:ascii="仿宋" w:hAnsi="仿宋" w:eastAsia="仿宋" w:cs="仿宋"/>
          <w:b/>
          <w:bCs/>
          <w:sz w:val="32"/>
          <w:szCs w:val="32"/>
          <w:lang w:val="zh-CN"/>
        </w:rPr>
      </w:pPr>
      <w:r>
        <w:rPr>
          <w:rFonts w:hint="eastAsia" w:ascii="仿宋" w:hAnsi="仿宋" w:eastAsia="仿宋" w:cs="仿宋"/>
          <w:b/>
          <w:bCs/>
          <w:sz w:val="32"/>
          <w:szCs w:val="32"/>
        </w:rPr>
        <w:t>3、</w:t>
      </w:r>
      <w:r>
        <w:rPr>
          <w:rFonts w:hint="eastAsia" w:ascii="仿宋" w:hAnsi="仿宋" w:eastAsia="仿宋" w:cs="仿宋"/>
          <w:b/>
          <w:bCs/>
          <w:sz w:val="32"/>
          <w:szCs w:val="32"/>
          <w:lang w:val="zh-CN"/>
        </w:rPr>
        <w:t>建成</w:t>
      </w:r>
      <w:r>
        <w:rPr>
          <w:rFonts w:hint="eastAsia" w:ascii="仿宋" w:hAnsi="仿宋" w:eastAsia="仿宋" w:cs="仿宋"/>
          <w:b/>
          <w:bCs/>
          <w:sz w:val="32"/>
          <w:szCs w:val="32"/>
        </w:rPr>
        <w:t>1个省</w:t>
      </w:r>
      <w:r>
        <w:rPr>
          <w:rFonts w:hint="eastAsia" w:ascii="仿宋" w:hAnsi="仿宋" w:eastAsia="仿宋" w:cs="仿宋"/>
          <w:b/>
          <w:bCs/>
          <w:sz w:val="32"/>
          <w:szCs w:val="32"/>
          <w:lang w:val="zh-CN"/>
        </w:rPr>
        <w:t>级（</w:t>
      </w:r>
      <w:r>
        <w:rPr>
          <w:rFonts w:hint="eastAsia" w:ascii="仿宋" w:hAnsi="仿宋" w:eastAsia="仿宋" w:cs="仿宋"/>
          <w:b/>
          <w:bCs/>
          <w:sz w:val="32"/>
          <w:szCs w:val="32"/>
        </w:rPr>
        <w:t>或以上</w:t>
      </w:r>
      <w:r>
        <w:rPr>
          <w:rFonts w:hint="eastAsia" w:ascii="仿宋" w:hAnsi="仿宋" w:eastAsia="仿宋" w:cs="仿宋"/>
          <w:b/>
          <w:bCs/>
          <w:sz w:val="32"/>
          <w:szCs w:val="32"/>
          <w:lang w:val="zh-CN"/>
        </w:rPr>
        <w:t>）孵化器</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乙方须于地块竣工验收之日起5年内建成1个具备科技成果转化、技术服务、产业孵化功能的省级（或以上）孵化器。</w:t>
      </w:r>
    </w:p>
    <w:p>
      <w:pPr>
        <w:spacing w:line="56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（三）税收要求：</w:t>
      </w:r>
      <w:r>
        <w:rPr>
          <w:rFonts w:hint="eastAsia" w:ascii="仿宋_GB2312" w:hAnsi="Times New Roman" w:eastAsia="仿宋_GB2312" w:cs="Times New Roman"/>
          <w:sz w:val="32"/>
          <w:szCs w:val="32"/>
        </w:rPr>
        <w:t>乙方自本宗地项目整体竣工备案后第1个完整会计年度起，连续5个完整会计年度内每年纳税总额合共不少于人民币50万元整（以税务部门出具的相应年度的纳税证明为审核依据）。</w:t>
      </w:r>
    </w:p>
    <w:p>
      <w:pPr>
        <w:ind w:firstLine="643" w:firstLineChars="200"/>
        <w:rPr>
          <w:rFonts w:ascii="仿宋" w:hAnsi="仿宋" w:eastAsia="仿宋" w:cs="仿宋"/>
          <w:b/>
          <w:sz w:val="32"/>
          <w:szCs w:val="32"/>
        </w:rPr>
      </w:pPr>
      <w:r>
        <w:rPr>
          <w:rFonts w:hint="eastAsia" w:ascii="仿宋" w:hAnsi="仿宋" w:eastAsia="仿宋" w:cs="仿宋"/>
          <w:b/>
          <w:sz w:val="32"/>
          <w:szCs w:val="32"/>
        </w:rPr>
        <w:t>（四）投资强度：</w:t>
      </w:r>
    </w:p>
    <w:p>
      <w:pPr>
        <w:ind w:firstLine="640" w:firstLineChars="200"/>
        <w:rPr>
          <w:rFonts w:ascii="仿宋" w:hAnsi="仿宋" w:eastAsia="仿宋" w:cs="仿宋"/>
          <w:sz w:val="32"/>
          <w:szCs w:val="32"/>
        </w:rPr>
      </w:pPr>
      <w:r>
        <w:rPr>
          <w:rFonts w:hint="eastAsia" w:ascii="仿宋" w:hAnsi="仿宋" w:eastAsia="仿宋" w:cs="仿宋"/>
          <w:kern w:val="0"/>
          <w:sz w:val="32"/>
          <w:szCs w:val="32"/>
        </w:rPr>
        <w:t>乙方在签订《出让合同》后至第5个完整会计年度内，本宗地固定资产投资总额不低于人民币</w:t>
      </w:r>
      <w:r>
        <w:rPr>
          <w:rFonts w:hint="eastAsia" w:ascii="仿宋" w:hAnsi="仿宋" w:eastAsia="仿宋" w:cs="仿宋"/>
          <w:kern w:val="0"/>
          <w:sz w:val="32"/>
          <w:szCs w:val="32"/>
          <w:u w:val="single"/>
        </w:rPr>
        <w:t>6亿元</w:t>
      </w:r>
      <w:r>
        <w:rPr>
          <w:rFonts w:hint="eastAsia" w:ascii="仿宋" w:hAnsi="仿宋" w:eastAsia="仿宋" w:cs="仿宋"/>
          <w:kern w:val="0"/>
          <w:sz w:val="32"/>
          <w:szCs w:val="32"/>
        </w:rPr>
        <w:t>；折合投资强度不低于</w:t>
      </w:r>
      <w:r>
        <w:rPr>
          <w:rFonts w:hint="eastAsia" w:ascii="仿宋" w:hAnsi="仿宋" w:eastAsia="仿宋" w:cs="仿宋"/>
          <w:kern w:val="0"/>
          <w:sz w:val="32"/>
          <w:szCs w:val="32"/>
          <w:u w:val="single"/>
        </w:rPr>
        <w:t>人民币每亩1000万元，</w:t>
      </w:r>
      <w:r>
        <w:rPr>
          <w:rFonts w:hint="eastAsia" w:ascii="仿宋" w:hAnsi="仿宋" w:eastAsia="仿宋" w:cs="仿宋"/>
          <w:kern w:val="0"/>
          <w:sz w:val="32"/>
          <w:szCs w:val="32"/>
        </w:rPr>
        <w:t>固定资产投资包括宗地红线内的建筑物、构筑物及其附属设施、设备投资，但不包括出让地价款。乙方在考核期内完成本条款内容，可根据实际情况向监管单位提交关于投资强度的履约申请，监管单位根据乙方提交的申请核定本宗地的实际开发总额。实际开发总额以监管单位和乙方双方共同确认的有资质的第三方出具报告为准（例如会计师事务所报告、验资报告或审计报告）。</w:t>
      </w:r>
    </w:p>
    <w:p>
      <w:pPr>
        <w:ind w:firstLine="643" w:firstLineChars="200"/>
        <w:rPr>
          <w:rFonts w:ascii="仿宋" w:hAnsi="仿宋" w:eastAsia="仿宋" w:cs="仿宋"/>
          <w:b/>
          <w:sz w:val="32"/>
          <w:szCs w:val="32"/>
        </w:rPr>
      </w:pPr>
      <w:r>
        <w:rPr>
          <w:rFonts w:hint="eastAsia" w:ascii="仿宋" w:hAnsi="仿宋" w:eastAsia="仿宋" w:cs="仿宋"/>
          <w:b/>
          <w:sz w:val="32"/>
          <w:szCs w:val="32"/>
        </w:rPr>
        <w:t>第二条  不动产登记</w:t>
      </w:r>
    </w:p>
    <w:p>
      <w:pPr>
        <w:pStyle w:val="13"/>
        <w:wordWrap w:val="0"/>
        <w:spacing w:line="530" w:lineRule="exact"/>
        <w:ind w:firstLine="640"/>
        <w:rPr>
          <w:rFonts w:ascii="仿宋" w:hAnsi="仿宋" w:eastAsia="仿宋" w:cs="仿宋"/>
          <w:sz w:val="32"/>
          <w:szCs w:val="32"/>
        </w:rPr>
      </w:pPr>
      <w:r>
        <w:rPr>
          <w:rFonts w:hint="eastAsia" w:ascii="仿宋" w:hAnsi="仿宋" w:eastAsia="仿宋" w:cs="仿宋"/>
          <w:sz w:val="32"/>
          <w:szCs w:val="32"/>
        </w:rPr>
        <w:t>乙方按照本须知约定支付全部出让地价款，办理不动产权证。</w:t>
      </w:r>
    </w:p>
    <w:p>
      <w:pPr>
        <w:pStyle w:val="13"/>
        <w:spacing w:line="560" w:lineRule="exact"/>
        <w:ind w:firstLine="0" w:firstLineChars="0"/>
        <w:rPr>
          <w:rFonts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sz w:val="32"/>
          <w:szCs w:val="32"/>
        </w:rPr>
        <w:t xml:space="preserve"> 乙方须全部自持建成物业，自持物业允许租赁但不得销售或转让（乙方出于资金融通目的以物业作为基础资产发行资产支持证券情形可豁免）。以上内容须在不动产权证上注明。</w:t>
      </w:r>
    </w:p>
    <w:p>
      <w:pPr>
        <w:tabs>
          <w:tab w:val="center" w:pos="4434"/>
        </w:tabs>
        <w:ind w:firstLine="643" w:firstLineChars="200"/>
        <w:rPr>
          <w:rFonts w:ascii="仿宋" w:hAnsi="仿宋" w:eastAsia="仿宋" w:cs="仿宋"/>
          <w:b/>
          <w:sz w:val="32"/>
          <w:szCs w:val="32"/>
        </w:rPr>
      </w:pPr>
      <w:r>
        <w:rPr>
          <w:rFonts w:hint="eastAsia" w:ascii="仿宋" w:hAnsi="仿宋" w:eastAsia="仿宋" w:cs="仿宋"/>
          <w:b/>
          <w:sz w:val="32"/>
          <w:szCs w:val="32"/>
        </w:rPr>
        <w:t>第三条  违约责任</w:t>
      </w:r>
      <w:r>
        <w:rPr>
          <w:rFonts w:hint="eastAsia" w:ascii="仿宋" w:hAnsi="仿宋" w:eastAsia="仿宋" w:cs="仿宋"/>
          <w:b/>
          <w:sz w:val="32"/>
          <w:szCs w:val="32"/>
        </w:rPr>
        <w:tab/>
      </w:r>
    </w:p>
    <w:p>
      <w:pPr>
        <w:ind w:firstLine="643" w:firstLineChars="200"/>
        <w:rPr>
          <w:rFonts w:ascii="仿宋" w:hAnsi="仿宋" w:eastAsia="仿宋" w:cs="仿宋"/>
          <w:sz w:val="32"/>
          <w:szCs w:val="32"/>
        </w:rPr>
      </w:pPr>
      <w:r>
        <w:rPr>
          <w:rFonts w:hint="eastAsia" w:ascii="仿宋" w:hAnsi="仿宋" w:eastAsia="仿宋" w:cs="仿宋"/>
          <w:b/>
          <w:sz w:val="32"/>
          <w:szCs w:val="32"/>
        </w:rPr>
        <w:t>（一）产业类型：</w:t>
      </w:r>
      <w:r>
        <w:rPr>
          <w:rFonts w:hint="eastAsia" w:ascii="仿宋" w:hAnsi="仿宋" w:eastAsia="仿宋" w:cs="仿宋"/>
          <w:sz w:val="32"/>
          <w:szCs w:val="32"/>
        </w:rPr>
        <w:t>自乙方项目竣工验收后，甲方每年对乙方履行第一条第（一）款的情况进行考核，考核不达标视为乙方违约。乙方应在甲方书面确定违约之日起180日内，向甲方支付违约金人民币壹千万元整（小写： 1000万元），逾期缴纳违约金的，每延期一日须向甲方支付相当于违约金的0.3%作为滞纳金，甲方有权要求乙方继续履约。</w:t>
      </w:r>
    </w:p>
    <w:p>
      <w:pPr>
        <w:ind w:firstLine="643" w:firstLineChars="200"/>
        <w:rPr>
          <w:rFonts w:ascii="仿宋" w:hAnsi="仿宋" w:eastAsia="仿宋" w:cs="仿宋"/>
          <w:b/>
          <w:sz w:val="32"/>
          <w:szCs w:val="32"/>
        </w:rPr>
      </w:pPr>
      <w:r>
        <w:rPr>
          <w:rFonts w:hint="eastAsia" w:ascii="仿宋" w:hAnsi="仿宋" w:eastAsia="仿宋" w:cs="仿宋"/>
          <w:b/>
          <w:sz w:val="32"/>
          <w:szCs w:val="32"/>
        </w:rPr>
        <w:t xml:space="preserve">（二）科技指标： </w:t>
      </w:r>
    </w:p>
    <w:p>
      <w:pPr>
        <w:ind w:firstLine="640" w:firstLineChars="200"/>
        <w:rPr>
          <w:rFonts w:ascii="仿宋" w:hAnsi="仿宋" w:eastAsia="仿宋" w:cs="仿宋"/>
          <w:bCs/>
          <w:sz w:val="32"/>
          <w:szCs w:val="32"/>
        </w:rPr>
      </w:pPr>
      <w:r>
        <w:rPr>
          <w:rFonts w:hint="eastAsia" w:ascii="仿宋" w:hAnsi="仿宋" w:eastAsia="仿宋" w:cs="仿宋"/>
          <w:sz w:val="32"/>
          <w:szCs w:val="32"/>
        </w:rPr>
        <w:t>1、至少取得1个省级或以上科学技术奖励</w:t>
      </w:r>
    </w:p>
    <w:p>
      <w:pPr>
        <w:ind w:firstLine="640" w:firstLineChars="200"/>
        <w:rPr>
          <w:rFonts w:ascii="仿宋" w:hAnsi="仿宋" w:eastAsia="仿宋" w:cs="仿宋"/>
          <w:bCs/>
          <w:sz w:val="32"/>
          <w:szCs w:val="32"/>
        </w:rPr>
      </w:pPr>
      <w:r>
        <w:rPr>
          <w:rFonts w:hint="eastAsia" w:ascii="仿宋" w:hAnsi="仿宋" w:eastAsia="仿宋" w:cs="仿宋"/>
          <w:bCs/>
          <w:sz w:val="32"/>
          <w:szCs w:val="32"/>
        </w:rPr>
        <w:t>乙方所投资的本宗地项目不按时实现第一条第（二）款第1点约定内容的，视为违约，乙方应按本宗地出让金总额的200%，向甲方支付违约金，并限期1年内进行整改，若1年内未能完成整改，则由市自然资源部门无偿收回本宗地。</w:t>
      </w:r>
    </w:p>
    <w:p>
      <w:pPr>
        <w:numPr>
          <w:ilvl w:val="0"/>
          <w:numId w:val="2"/>
        </w:numPr>
        <w:ind w:firstLine="640" w:firstLineChars="200"/>
        <w:rPr>
          <w:rFonts w:ascii="仿宋" w:hAnsi="仿宋" w:eastAsia="仿宋" w:cs="仿宋"/>
          <w:bCs/>
          <w:sz w:val="32"/>
          <w:szCs w:val="32"/>
        </w:rPr>
      </w:pPr>
      <w:r>
        <w:rPr>
          <w:rFonts w:hint="eastAsia" w:ascii="仿宋" w:hAnsi="仿宋" w:eastAsia="仿宋" w:cs="仿宋"/>
          <w:bCs/>
          <w:sz w:val="32"/>
          <w:szCs w:val="32"/>
        </w:rPr>
        <w:t>建设集管理运营中心、结算中心、技术服务中心、科研中心、产研实践中心为一体的企业总部</w:t>
      </w:r>
    </w:p>
    <w:p>
      <w:pPr>
        <w:ind w:firstLine="640" w:firstLineChars="200"/>
        <w:rPr>
          <w:rFonts w:ascii="仿宋" w:hAnsi="仿宋" w:eastAsia="仿宋" w:cs="仿宋"/>
          <w:bCs/>
          <w:sz w:val="32"/>
          <w:szCs w:val="32"/>
        </w:rPr>
      </w:pPr>
      <w:r>
        <w:rPr>
          <w:rFonts w:hint="eastAsia" w:ascii="仿宋" w:hAnsi="仿宋" w:eastAsia="仿宋" w:cs="仿宋"/>
          <w:bCs/>
          <w:sz w:val="32"/>
          <w:szCs w:val="32"/>
        </w:rPr>
        <w:t>乙方所投资的本宗地项目不按时实现第一条第（二）款第2点约定内容的，视为违约，乙方应按本宗地出让金总额的200%，向甲方支付违约金，并限期1年内进行整改，若1年内未能完成整改，则由市自然资源部门无偿收回本宗地。</w:t>
      </w:r>
    </w:p>
    <w:p>
      <w:pPr>
        <w:numPr>
          <w:ilvl w:val="0"/>
          <w:numId w:val="3"/>
        </w:numPr>
        <w:ind w:firstLine="640" w:firstLineChars="200"/>
        <w:rPr>
          <w:rFonts w:ascii="仿宋" w:hAnsi="仿宋" w:eastAsia="仿宋" w:cs="仿宋"/>
          <w:bCs/>
          <w:sz w:val="32"/>
          <w:szCs w:val="32"/>
        </w:rPr>
      </w:pPr>
      <w:r>
        <w:rPr>
          <w:rFonts w:hint="eastAsia" w:ascii="仿宋" w:hAnsi="仿宋" w:eastAsia="仿宋" w:cs="仿宋"/>
          <w:bCs/>
          <w:sz w:val="32"/>
          <w:szCs w:val="32"/>
        </w:rPr>
        <w:t>建成1个省级（或以上）孵化器</w:t>
      </w:r>
    </w:p>
    <w:p>
      <w:pPr>
        <w:ind w:firstLine="640" w:firstLineChars="200"/>
        <w:rPr>
          <w:rFonts w:ascii="仿宋" w:hAnsi="仿宋" w:eastAsia="仿宋" w:cs="仿宋"/>
          <w:bCs/>
          <w:sz w:val="32"/>
          <w:szCs w:val="32"/>
        </w:rPr>
      </w:pPr>
      <w:r>
        <w:rPr>
          <w:rFonts w:hint="eastAsia" w:ascii="仿宋" w:hAnsi="仿宋" w:eastAsia="仿宋" w:cs="仿宋"/>
          <w:bCs/>
          <w:sz w:val="32"/>
          <w:szCs w:val="32"/>
        </w:rPr>
        <w:t>乙方所投资的本宗地项目不按时实现第一条第（二）款第3点约定内容的，视为违约，乙方应按本宗地出让金总额的200%，向甲方支付违约金，并限期1年内进行整改，若1年内未能完成整改，则由市自然资源部门无偿收回本宗地。</w:t>
      </w:r>
    </w:p>
    <w:p>
      <w:pPr>
        <w:ind w:firstLine="643" w:firstLineChars="200"/>
        <w:rPr>
          <w:rFonts w:hint="eastAsia" w:ascii="仿宋" w:hAnsi="仿宋" w:eastAsia="仿宋" w:cs="Times New Roman"/>
          <w:b/>
          <w:sz w:val="32"/>
          <w:szCs w:val="32"/>
        </w:rPr>
      </w:pPr>
      <w:r>
        <w:rPr>
          <w:rFonts w:hint="eastAsia" w:ascii="仿宋" w:hAnsi="仿宋" w:eastAsia="仿宋" w:cs="仿宋"/>
          <w:b/>
          <w:sz w:val="32"/>
          <w:szCs w:val="32"/>
        </w:rPr>
        <w:t>（三）</w:t>
      </w:r>
      <w:r>
        <w:rPr>
          <w:rFonts w:hint="eastAsia" w:ascii="仿宋" w:hAnsi="仿宋" w:eastAsia="仿宋"/>
          <w:b/>
          <w:bCs/>
          <w:sz w:val="32"/>
          <w:szCs w:val="32"/>
        </w:rPr>
        <w:t>税收要求：</w:t>
      </w:r>
      <w:r>
        <w:rPr>
          <w:rFonts w:hint="eastAsia" w:ascii="仿宋" w:hAnsi="仿宋" w:eastAsia="仿宋" w:cs="Times New Roman"/>
          <w:sz w:val="32"/>
          <w:szCs w:val="32"/>
        </w:rPr>
        <w:t>自</w:t>
      </w:r>
      <w:r>
        <w:rPr>
          <w:rFonts w:hint="eastAsia" w:ascii="仿宋" w:hAnsi="仿宋" w:eastAsia="仿宋" w:cs="Times New Roman"/>
          <w:sz w:val="32"/>
          <w:szCs w:val="32"/>
          <w:lang w:val="zh-CN"/>
        </w:rPr>
        <w:t>宗地项目整体竣工备案后第1个会计年度开始，甲方每年依据本协议第一条第（三）款对乙方进行考核，乙方纳税总额未达到本协议约定要求的，须按照实际差额部分占约定纳税总额的比例，向甲方支付同比例成交地价款的违约金，</w:t>
      </w:r>
      <w:r>
        <w:rPr>
          <w:rFonts w:hint="eastAsia" w:ascii="仿宋" w:hAnsi="仿宋" w:eastAsia="仿宋" w:cs="Times New Roman"/>
          <w:sz w:val="32"/>
          <w:szCs w:val="32"/>
        </w:rPr>
        <w:t>成交价款以出让人与乙方签订的《出让合同》为准</w:t>
      </w:r>
      <w:r>
        <w:rPr>
          <w:rFonts w:hint="eastAsia" w:ascii="仿宋" w:hAnsi="仿宋" w:eastAsia="仿宋" w:cs="Times New Roman"/>
          <w:sz w:val="32"/>
          <w:szCs w:val="32"/>
          <w:lang w:val="zh-CN"/>
        </w:rPr>
        <w:t>。乙方应在甲方书面确定违约之日起180日内向</w:t>
      </w:r>
      <w:r>
        <w:rPr>
          <w:rFonts w:hint="eastAsia" w:ascii="仿宋" w:hAnsi="仿宋" w:eastAsia="仿宋" w:cs="Times New Roman"/>
          <w:sz w:val="32"/>
          <w:szCs w:val="32"/>
          <w:lang w:val="en-US" w:eastAsia="zh-CN"/>
        </w:rPr>
        <w:t>甲方</w:t>
      </w:r>
      <w:r>
        <w:rPr>
          <w:rFonts w:hint="eastAsia" w:ascii="仿宋" w:hAnsi="仿宋" w:eastAsia="仿宋" w:cs="Times New Roman"/>
          <w:sz w:val="32"/>
          <w:szCs w:val="32"/>
          <w:lang w:val="zh-CN"/>
        </w:rPr>
        <w:t>支付违约金，逾期缴纳违约金的，每延期一日须向</w:t>
      </w:r>
      <w:r>
        <w:rPr>
          <w:rFonts w:hint="eastAsia" w:ascii="仿宋" w:hAnsi="仿宋" w:eastAsia="仿宋" w:cs="Times New Roman"/>
          <w:sz w:val="32"/>
          <w:szCs w:val="32"/>
          <w:lang w:val="en-US" w:eastAsia="zh-CN"/>
        </w:rPr>
        <w:t>甲方</w:t>
      </w:r>
      <w:r>
        <w:rPr>
          <w:rFonts w:hint="eastAsia" w:ascii="仿宋" w:hAnsi="仿宋" w:eastAsia="仿宋" w:cs="Times New Roman"/>
          <w:sz w:val="32"/>
          <w:szCs w:val="32"/>
          <w:lang w:val="zh-CN"/>
        </w:rPr>
        <w:t>支付相当于违约金0.3%的滞纳金，</w:t>
      </w:r>
      <w:r>
        <w:rPr>
          <w:rFonts w:hint="eastAsia" w:ascii="仿宋" w:hAnsi="仿宋" w:eastAsia="仿宋" w:cs="Times New Roman"/>
          <w:sz w:val="32"/>
          <w:szCs w:val="32"/>
        </w:rPr>
        <w:t>甲方有权要求乙方继续履约</w:t>
      </w:r>
      <w:r>
        <w:rPr>
          <w:rFonts w:hint="eastAsia" w:ascii="仿宋" w:hAnsi="仿宋" w:eastAsia="仿宋" w:cs="Times New Roman"/>
          <w:sz w:val="32"/>
          <w:szCs w:val="32"/>
          <w:lang w:val="zh-CN"/>
        </w:rPr>
        <w:t>。</w:t>
      </w:r>
    </w:p>
    <w:p>
      <w:pPr>
        <w:ind w:firstLine="643" w:firstLineChars="200"/>
        <w:rPr>
          <w:rFonts w:ascii="仿宋" w:hAnsi="仿宋" w:eastAsia="仿宋" w:cs="仿宋"/>
          <w:sz w:val="32"/>
          <w:szCs w:val="32"/>
        </w:rPr>
      </w:pPr>
      <w:r>
        <w:rPr>
          <w:rFonts w:hint="eastAsia" w:ascii="仿宋" w:hAnsi="仿宋" w:eastAsia="仿宋" w:cs="仿宋"/>
          <w:b/>
          <w:sz w:val="32"/>
          <w:szCs w:val="32"/>
        </w:rPr>
        <w:t>（四）投资强度：</w:t>
      </w:r>
      <w:r>
        <w:rPr>
          <w:rFonts w:hint="eastAsia" w:ascii="仿宋" w:hAnsi="仿宋" w:eastAsia="仿宋" w:cs="仿宋"/>
          <w:sz w:val="32"/>
          <w:szCs w:val="32"/>
        </w:rPr>
        <w:t>乙方开发投资总额未达到本协议约定要求的，须按照实际差额部分占约定投资总额的比例，向甲方支付同比例成交地价款的违约金，成交价款以出让人与乙方签订的《出让合同》为准。其中，外资在本宗地的投资总额未达到本协议约定要求的，须按照外资实际差额部分占约定外资投资总额的比例，向甲方支付同比例成交地价款的违约金，成交价款以出让人与乙方签订的《出让合同》为准。乙方应在甲方书面确定违约之日起180日内向</w:t>
      </w:r>
      <w:r>
        <w:rPr>
          <w:rFonts w:hint="eastAsia" w:ascii="仿宋" w:hAnsi="仿宋" w:eastAsia="仿宋" w:cs="仿宋"/>
          <w:sz w:val="32"/>
          <w:szCs w:val="32"/>
          <w:lang w:val="en-US" w:eastAsia="zh-CN"/>
        </w:rPr>
        <w:t>甲方</w:t>
      </w:r>
      <w:r>
        <w:rPr>
          <w:rFonts w:hint="eastAsia" w:ascii="仿宋" w:hAnsi="仿宋" w:eastAsia="仿宋" w:cs="仿宋"/>
          <w:sz w:val="32"/>
          <w:szCs w:val="32"/>
        </w:rPr>
        <w:t>支付违约金，逾期缴纳违约金的，每延期一日须向</w:t>
      </w:r>
      <w:r>
        <w:rPr>
          <w:rFonts w:hint="eastAsia" w:ascii="仿宋" w:hAnsi="仿宋" w:eastAsia="仿宋" w:cs="仿宋"/>
          <w:sz w:val="32"/>
          <w:szCs w:val="32"/>
          <w:lang w:val="en-US" w:eastAsia="zh-CN"/>
        </w:rPr>
        <w:t>甲方</w:t>
      </w:r>
      <w:r>
        <w:rPr>
          <w:rFonts w:hint="eastAsia" w:ascii="仿宋" w:hAnsi="仿宋" w:eastAsia="仿宋" w:cs="仿宋"/>
          <w:sz w:val="32"/>
          <w:szCs w:val="32"/>
        </w:rPr>
        <w:t>支付相当于违约金0.3%的滞纳金，甲方有权要求乙方继续履约。</w:t>
      </w:r>
    </w:p>
    <w:p>
      <w:pPr>
        <w:ind w:firstLine="643" w:firstLineChars="200"/>
        <w:rPr>
          <w:rFonts w:ascii="仿宋" w:hAnsi="仿宋" w:eastAsia="仿宋" w:cs="仿宋"/>
          <w:b/>
          <w:sz w:val="32"/>
          <w:szCs w:val="32"/>
        </w:rPr>
      </w:pPr>
      <w:r>
        <w:rPr>
          <w:rFonts w:hint="eastAsia" w:ascii="仿宋" w:hAnsi="仿宋" w:eastAsia="仿宋" w:cs="仿宋"/>
          <w:b/>
          <w:sz w:val="32"/>
          <w:szCs w:val="32"/>
        </w:rPr>
        <w:t>第四条  适用法律</w:t>
      </w:r>
    </w:p>
    <w:p>
      <w:pPr>
        <w:ind w:firstLine="640" w:firstLineChars="200"/>
        <w:rPr>
          <w:rFonts w:ascii="仿宋" w:hAnsi="仿宋" w:eastAsia="仿宋" w:cs="仿宋"/>
          <w:sz w:val="32"/>
          <w:szCs w:val="32"/>
        </w:rPr>
      </w:pPr>
      <w:r>
        <w:rPr>
          <w:rFonts w:hint="eastAsia" w:ascii="仿宋" w:hAnsi="仿宋" w:eastAsia="仿宋" w:cs="仿宋"/>
          <w:sz w:val="32"/>
          <w:szCs w:val="32"/>
        </w:rPr>
        <w:t>本协议订立、效力、解释、履行及争议的解决，均适用中华人民共和国法律。</w:t>
      </w:r>
    </w:p>
    <w:p>
      <w:pPr>
        <w:ind w:firstLine="643" w:firstLineChars="200"/>
        <w:rPr>
          <w:rFonts w:ascii="仿宋" w:hAnsi="仿宋" w:eastAsia="仿宋" w:cs="仿宋"/>
          <w:b/>
          <w:sz w:val="32"/>
          <w:szCs w:val="32"/>
        </w:rPr>
      </w:pPr>
      <w:r>
        <w:rPr>
          <w:rFonts w:hint="eastAsia" w:ascii="仿宋" w:hAnsi="仿宋" w:eastAsia="仿宋" w:cs="仿宋"/>
          <w:b/>
          <w:sz w:val="32"/>
          <w:szCs w:val="32"/>
        </w:rPr>
        <w:t>第五条  争议解决</w:t>
      </w:r>
    </w:p>
    <w:p>
      <w:pPr>
        <w:ind w:firstLine="640" w:firstLineChars="200"/>
        <w:rPr>
          <w:rFonts w:ascii="仿宋" w:hAnsi="仿宋" w:eastAsia="仿宋" w:cs="仿宋"/>
          <w:sz w:val="32"/>
          <w:szCs w:val="32"/>
        </w:rPr>
      </w:pPr>
      <w:r>
        <w:rPr>
          <w:rFonts w:hint="eastAsia" w:ascii="仿宋" w:hAnsi="仿宋" w:eastAsia="仿宋" w:cs="仿宋"/>
          <w:sz w:val="32"/>
          <w:szCs w:val="32"/>
        </w:rPr>
        <w:t>甲方及乙方均同意，尽管甲方作为行政机关或具有行政机关的行政职权，但本合同性质为民事合同，而不应被视为行政合同，甲方不应以其具有某种行政职权或属于行政机关为由拖延或拒绝履行本合同。本协议履行期间发生争议时，甲乙双方应通过协商解决，协商不成的，双方都有权向佛山市中级人民法院提起诉讼解决。</w:t>
      </w:r>
    </w:p>
    <w:p>
      <w:pPr>
        <w:ind w:firstLine="643" w:firstLineChars="200"/>
        <w:rPr>
          <w:rFonts w:ascii="仿宋" w:hAnsi="仿宋" w:eastAsia="仿宋" w:cs="仿宋"/>
          <w:b/>
          <w:sz w:val="32"/>
          <w:szCs w:val="32"/>
        </w:rPr>
      </w:pPr>
      <w:r>
        <w:rPr>
          <w:rFonts w:hint="eastAsia" w:ascii="仿宋" w:hAnsi="仿宋" w:eastAsia="仿宋" w:cs="仿宋"/>
          <w:b/>
          <w:sz w:val="32"/>
          <w:szCs w:val="32"/>
        </w:rPr>
        <w:t>第六条  其他约定</w:t>
      </w:r>
    </w:p>
    <w:p>
      <w:pPr>
        <w:ind w:firstLine="640" w:firstLineChars="200"/>
        <w:rPr>
          <w:rFonts w:ascii="仿宋" w:hAnsi="仿宋" w:eastAsia="仿宋" w:cs="仿宋"/>
          <w:sz w:val="32"/>
          <w:szCs w:val="32"/>
        </w:rPr>
      </w:pPr>
      <w:r>
        <w:rPr>
          <w:rFonts w:hint="eastAsia" w:ascii="仿宋" w:hAnsi="仿宋" w:eastAsia="仿宋" w:cs="仿宋"/>
          <w:sz w:val="32"/>
          <w:szCs w:val="32"/>
        </w:rPr>
        <w:t>甲方负责对本协议约定事项进行监管，并联合本宗地出让人及相关职能部门共同配合监管。</w:t>
      </w:r>
    </w:p>
    <w:p>
      <w:pPr>
        <w:ind w:firstLine="643" w:firstLineChars="200"/>
        <w:rPr>
          <w:rFonts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本协议自甲、乙双方签字盖章之日起生效，未尽事宜另行补充。本协议一式</w:t>
      </w:r>
      <w:r>
        <w:rPr>
          <w:rFonts w:hint="eastAsia" w:ascii="仿宋" w:hAnsi="仿宋" w:eastAsia="仿宋" w:cs="仿宋"/>
          <w:sz w:val="32"/>
          <w:szCs w:val="32"/>
          <w:u w:val="single"/>
        </w:rPr>
        <w:t>陆</w:t>
      </w:r>
      <w:r>
        <w:rPr>
          <w:rFonts w:hint="eastAsia" w:ascii="仿宋" w:hAnsi="仿宋" w:eastAsia="仿宋" w:cs="仿宋"/>
          <w:sz w:val="32"/>
          <w:szCs w:val="32"/>
        </w:rPr>
        <w:t>份，甲乙双方各</w:t>
      </w:r>
      <w:r>
        <w:rPr>
          <w:rFonts w:hint="eastAsia" w:ascii="仿宋" w:hAnsi="仿宋" w:eastAsia="仿宋" w:cs="仿宋"/>
          <w:sz w:val="32"/>
          <w:szCs w:val="32"/>
          <w:u w:val="single"/>
        </w:rPr>
        <w:t>贰</w:t>
      </w:r>
      <w:r>
        <w:rPr>
          <w:rFonts w:hint="eastAsia" w:ascii="仿宋" w:hAnsi="仿宋" w:eastAsia="仿宋" w:cs="仿宋"/>
          <w:sz w:val="32"/>
          <w:szCs w:val="32"/>
        </w:rPr>
        <w:t>份、市自然资源局存档贰份，每份协议均具有同等法律效力。</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附件：1.《建（构）筑物建设项目规划条件》及附图（收件编号：</w:t>
      </w:r>
      <w:r>
        <w:rPr>
          <w:rFonts w:hint="eastAsia" w:ascii="仿宋" w:hAnsi="仿宋" w:eastAsia="仿宋" w:cs="仿宋"/>
          <w:sz w:val="32"/>
          <w:szCs w:val="32"/>
          <w:u w:val="single"/>
        </w:rPr>
        <w:t>佛山2021000737</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2.用地红线图（地块编号：YDCR44060500602041）。</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甲方（盖章）：</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法定代表人（委托人）：</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日期：    年   月   日</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乙方（盖章）：</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法定代表人（委托人）：</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2000000000000000000"/>
    <w:charset w:val="86"/>
    <w:family w:val="auto"/>
    <w:pitch w:val="default"/>
    <w:sig w:usb0="00000000" w:usb1="00000000" w:usb2="00000012"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FCDF"/>
    <w:multiLevelType w:val="singleLevel"/>
    <w:tmpl w:val="50A7FCDF"/>
    <w:lvl w:ilvl="0" w:tentative="0">
      <w:start w:val="3"/>
      <w:numFmt w:val="decimal"/>
      <w:suff w:val="nothing"/>
      <w:lvlText w:val="%1、"/>
      <w:lvlJc w:val="left"/>
    </w:lvl>
  </w:abstractNum>
  <w:abstractNum w:abstractNumId="1">
    <w:nsid w:val="521F76A4"/>
    <w:multiLevelType w:val="singleLevel"/>
    <w:tmpl w:val="521F76A4"/>
    <w:lvl w:ilvl="0" w:tentative="0">
      <w:start w:val="2"/>
      <w:numFmt w:val="decimal"/>
      <w:suff w:val="nothing"/>
      <w:lvlText w:val="%1、"/>
      <w:lvlJc w:val="left"/>
    </w:lvl>
  </w:abstractNum>
  <w:abstractNum w:abstractNumId="2">
    <w:nsid w:val="692173C6"/>
    <w:multiLevelType w:val="multilevel"/>
    <w:tmpl w:val="692173C6"/>
    <w:lvl w:ilvl="0" w:tentative="0">
      <w:start w:val="1"/>
      <w:numFmt w:val="japaneseCounting"/>
      <w:lvlText w:val="第%1条"/>
      <w:lvlJc w:val="left"/>
      <w:pPr>
        <w:ind w:left="1544" w:hanging="984"/>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MThlMWZmNGE5Nzk4OTFiMWIwZDNkMTZhOTVkNDQifQ=="/>
  </w:docVars>
  <w:rsids>
    <w:rsidRoot w:val="005A6236"/>
    <w:rsid w:val="00007895"/>
    <w:rsid w:val="00013279"/>
    <w:rsid w:val="000500AD"/>
    <w:rsid w:val="00060481"/>
    <w:rsid w:val="00064B24"/>
    <w:rsid w:val="00080A05"/>
    <w:rsid w:val="00107EE0"/>
    <w:rsid w:val="00161C9F"/>
    <w:rsid w:val="00385100"/>
    <w:rsid w:val="00403CF4"/>
    <w:rsid w:val="004276B5"/>
    <w:rsid w:val="004344BD"/>
    <w:rsid w:val="00445D2E"/>
    <w:rsid w:val="00470069"/>
    <w:rsid w:val="004A42ED"/>
    <w:rsid w:val="004B57FA"/>
    <w:rsid w:val="004E636F"/>
    <w:rsid w:val="005379A4"/>
    <w:rsid w:val="00556858"/>
    <w:rsid w:val="005A6236"/>
    <w:rsid w:val="005B4E0B"/>
    <w:rsid w:val="005C6439"/>
    <w:rsid w:val="005E4174"/>
    <w:rsid w:val="006A3E31"/>
    <w:rsid w:val="006F0395"/>
    <w:rsid w:val="00760F81"/>
    <w:rsid w:val="0077627F"/>
    <w:rsid w:val="007804BB"/>
    <w:rsid w:val="007B08B9"/>
    <w:rsid w:val="007E2DBB"/>
    <w:rsid w:val="007E6B2D"/>
    <w:rsid w:val="0084500D"/>
    <w:rsid w:val="008F7FAD"/>
    <w:rsid w:val="00986AD8"/>
    <w:rsid w:val="00986FE0"/>
    <w:rsid w:val="009C045E"/>
    <w:rsid w:val="009E0AC0"/>
    <w:rsid w:val="00A36054"/>
    <w:rsid w:val="00AA6655"/>
    <w:rsid w:val="00B40B48"/>
    <w:rsid w:val="00B42C7F"/>
    <w:rsid w:val="00B761CC"/>
    <w:rsid w:val="00BA13D8"/>
    <w:rsid w:val="00BA4F11"/>
    <w:rsid w:val="00C55375"/>
    <w:rsid w:val="00C977E8"/>
    <w:rsid w:val="00CB7910"/>
    <w:rsid w:val="00D03A6B"/>
    <w:rsid w:val="00DC0245"/>
    <w:rsid w:val="00DC3107"/>
    <w:rsid w:val="00EC692A"/>
    <w:rsid w:val="00F17935"/>
    <w:rsid w:val="00F43B62"/>
    <w:rsid w:val="00F8656D"/>
    <w:rsid w:val="00FE0B5D"/>
    <w:rsid w:val="018D0D57"/>
    <w:rsid w:val="020B33B3"/>
    <w:rsid w:val="0565592B"/>
    <w:rsid w:val="065A5B6D"/>
    <w:rsid w:val="0AD2469D"/>
    <w:rsid w:val="0EB034F6"/>
    <w:rsid w:val="0F553A6D"/>
    <w:rsid w:val="123A5443"/>
    <w:rsid w:val="12FF290D"/>
    <w:rsid w:val="15C724CA"/>
    <w:rsid w:val="164C1D65"/>
    <w:rsid w:val="16643813"/>
    <w:rsid w:val="17CB43BA"/>
    <w:rsid w:val="1B4D4E50"/>
    <w:rsid w:val="1BC210F9"/>
    <w:rsid w:val="1EC12C0B"/>
    <w:rsid w:val="1FF80544"/>
    <w:rsid w:val="204669A9"/>
    <w:rsid w:val="20694899"/>
    <w:rsid w:val="2222046D"/>
    <w:rsid w:val="236B6D2A"/>
    <w:rsid w:val="23893119"/>
    <w:rsid w:val="26C41B76"/>
    <w:rsid w:val="29250855"/>
    <w:rsid w:val="29260104"/>
    <w:rsid w:val="2A5716C9"/>
    <w:rsid w:val="2D942CC0"/>
    <w:rsid w:val="2E2F76A0"/>
    <w:rsid w:val="30CD740A"/>
    <w:rsid w:val="3106756F"/>
    <w:rsid w:val="31B707F7"/>
    <w:rsid w:val="337127B5"/>
    <w:rsid w:val="33F4075A"/>
    <w:rsid w:val="362E5F20"/>
    <w:rsid w:val="377B36C1"/>
    <w:rsid w:val="384F33D4"/>
    <w:rsid w:val="384F38D6"/>
    <w:rsid w:val="3B5724C5"/>
    <w:rsid w:val="3B9A442C"/>
    <w:rsid w:val="3C2C7951"/>
    <w:rsid w:val="3E2C3654"/>
    <w:rsid w:val="3E8A0A39"/>
    <w:rsid w:val="42A02B4F"/>
    <w:rsid w:val="43514FFC"/>
    <w:rsid w:val="449A3978"/>
    <w:rsid w:val="460B57CF"/>
    <w:rsid w:val="47AD5519"/>
    <w:rsid w:val="48010D43"/>
    <w:rsid w:val="49E75A82"/>
    <w:rsid w:val="49F678CF"/>
    <w:rsid w:val="4BB60ADE"/>
    <w:rsid w:val="4C834DAA"/>
    <w:rsid w:val="4CE14258"/>
    <w:rsid w:val="4E715D2C"/>
    <w:rsid w:val="52D40B48"/>
    <w:rsid w:val="52E8050F"/>
    <w:rsid w:val="53346812"/>
    <w:rsid w:val="53676F15"/>
    <w:rsid w:val="541B7A67"/>
    <w:rsid w:val="547B40DE"/>
    <w:rsid w:val="549365FC"/>
    <w:rsid w:val="57A0517C"/>
    <w:rsid w:val="57C45C4E"/>
    <w:rsid w:val="5CDF4384"/>
    <w:rsid w:val="60D43061"/>
    <w:rsid w:val="61A25145"/>
    <w:rsid w:val="6241035F"/>
    <w:rsid w:val="638A1E3B"/>
    <w:rsid w:val="63B044DD"/>
    <w:rsid w:val="63D84CD0"/>
    <w:rsid w:val="64024D5E"/>
    <w:rsid w:val="65E70835"/>
    <w:rsid w:val="670043C6"/>
    <w:rsid w:val="687154C6"/>
    <w:rsid w:val="687662CF"/>
    <w:rsid w:val="6AA13588"/>
    <w:rsid w:val="6B550274"/>
    <w:rsid w:val="6C325D5B"/>
    <w:rsid w:val="6E41199A"/>
    <w:rsid w:val="6E8D2E28"/>
    <w:rsid w:val="6F4C18AF"/>
    <w:rsid w:val="6FCB659E"/>
    <w:rsid w:val="77C16067"/>
    <w:rsid w:val="7B630A8B"/>
    <w:rsid w:val="7DC56BC8"/>
    <w:rsid w:val="7FAC7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semiHidden/>
    <w:unhideWhenUsed/>
    <w:qFormat/>
    <w:uiPriority w:val="99"/>
    <w:pPr>
      <w:spacing w:after="120" w:line="480" w:lineRule="auto"/>
      <w:ind w:left="420" w:leftChars="200"/>
    </w:p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paragraph" w:styleId="9">
    <w:name w:val="List Paragraph"/>
    <w:basedOn w:val="1"/>
    <w:qFormat/>
    <w:uiPriority w:val="34"/>
    <w:pPr>
      <w:ind w:firstLine="420" w:firstLineChars="200"/>
    </w:p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Char Char2 Char Char Char Char"/>
    <w:basedOn w:val="1"/>
    <w:qFormat/>
    <w:uiPriority w:val="0"/>
    <w:pPr>
      <w:widowControl/>
      <w:spacing w:after="160" w:line="240" w:lineRule="exact"/>
      <w:jc w:val="left"/>
    </w:pPr>
    <w:rPr>
      <w:rFonts w:ascii="Times New Roman" w:hAnsi="Times New Roman" w:eastAsia="方正仿宋简体" w:cs="Times New Roman"/>
      <w:kern w:val="0"/>
      <w:sz w:val="32"/>
      <w:szCs w:val="20"/>
    </w:rPr>
  </w:style>
  <w:style w:type="paragraph" w:customStyle="1" w:styleId="13">
    <w:name w:val="标题4"/>
    <w:basedOn w:val="2"/>
    <w:qFormat/>
    <w:uiPriority w:val="0"/>
    <w:pPr>
      <w:autoSpaceDE w:val="0"/>
      <w:autoSpaceDN w:val="0"/>
      <w:adjustRightInd w:val="0"/>
      <w:spacing w:after="0" w:line="540" w:lineRule="exact"/>
      <w:ind w:left="0" w:leftChars="0" w:firstLine="560" w:firstLineChars="200"/>
    </w:pPr>
    <w:rPr>
      <w:rFonts w:ascii="宋体" w:hAnsi="宋体" w:eastAsia="宋体" w:cs="宋体"/>
      <w:kern w:val="32"/>
      <w:sz w:val="28"/>
      <w:szCs w:val="28"/>
    </w:rPr>
  </w:style>
  <w:style w:type="character" w:customStyle="1" w:styleId="14">
    <w:name w:val="正文文本缩进 2 Char"/>
    <w:basedOn w:val="7"/>
    <w:link w:val="2"/>
    <w:semiHidden/>
    <w:qFormat/>
    <w:uiPriority w:val="99"/>
    <w:rPr>
      <w:rFonts w:asciiTheme="minorHAnsi" w:hAnsiTheme="minorHAnsi" w:eastAsiaTheme="minorEastAsia" w:cstheme="minorBidi"/>
      <w:kern w:val="2"/>
      <w:sz w:val="21"/>
      <w:szCs w:val="22"/>
    </w:rPr>
  </w:style>
  <w:style w:type="paragraph" w:customStyle="1" w:styleId="15">
    <w:name w:val="修订1"/>
    <w:hidden/>
    <w:semi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6">
    <w:name w:val="批注框文本 Char"/>
    <w:basedOn w:val="7"/>
    <w:link w:val="3"/>
    <w:semiHidden/>
    <w:qFormat/>
    <w:uiPriority w:val="99"/>
    <w:rPr>
      <w:rFonts w:asciiTheme="minorHAnsi" w:hAnsiTheme="minorHAnsi" w:eastAsiaTheme="minorEastAsia" w:cstheme="minorBidi"/>
      <w:kern w:val="2"/>
      <w:sz w:val="18"/>
      <w:szCs w:val="18"/>
    </w:rPr>
  </w:style>
  <w:style w:type="paragraph" w:customStyle="1" w:styleId="17">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A30E9-4472-4AD1-9A33-08D373C16A31}">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2563</Words>
  <Characters>2655</Characters>
  <Lines>20</Lines>
  <Paragraphs>5</Paragraphs>
  <TotalTime>0</TotalTime>
  <ScaleCrop>false</ScaleCrop>
  <LinksUpToDate>false</LinksUpToDate>
  <CharactersWithSpaces>2723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2022-07-06T05:13:00Z</dcterms:created>
  <dc:creator>jw</dc:creator>
  <cp:lastModifiedBy>计划合约部</cp:lastModifiedBy>
  <cp:lastPrinted>2022-07-06T07:53:00Z</cp:lastPrinted>
  <dcterms:modified xsi:type="dcterms:W3CDTF">2022-07-07T06:20:41Z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F229D39CB0C643908CC786E4339A69A4</vt:lpwstr>
  </property>
</Properties>
</file>