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hint="eastAsia" w:ascii="仿宋" w:hAnsi="仿宋" w:eastAsia="仿宋"/>
          <w:szCs w:val="32"/>
          <w:lang w:eastAsia="zh-CN"/>
        </w:rPr>
      </w:pPr>
      <w:r>
        <w:rPr>
          <w:rFonts w:hint="eastAsia" w:ascii="仿宋" w:hAnsi="仿宋" w:eastAsia="仿宋"/>
          <w:szCs w:val="32"/>
        </w:rPr>
        <w:t>《佛山市海绵城市规划建设管理办法》的</w:t>
      </w:r>
      <w:r>
        <w:rPr>
          <w:rFonts w:hint="eastAsia" w:ascii="仿宋" w:hAnsi="仿宋" w:eastAsia="仿宋"/>
          <w:szCs w:val="32"/>
          <w:lang w:eastAsia="zh-CN"/>
        </w:rPr>
        <w:t>政策解读</w:t>
      </w:r>
    </w:p>
    <w:p>
      <w:pPr>
        <w:ind w:firstLine="0" w:firstLineChars="0"/>
        <w:rPr>
          <w:rFonts w:hint="eastAsia" w:ascii="仿宋" w:hAnsi="仿宋" w:eastAsia="仿宋"/>
          <w:bCs w:val="0"/>
          <w:sz w:val="30"/>
          <w:szCs w:val="30"/>
        </w:rPr>
      </w:pPr>
      <w:bookmarkStart w:id="0" w:name="_GoBack"/>
      <w:bookmarkEnd w:id="0"/>
    </w:p>
    <w:p>
      <w:pPr>
        <w:ind w:firstLine="600" w:firstLineChars="200"/>
        <w:rPr>
          <w:rFonts w:ascii="仿宋" w:hAnsi="仿宋" w:eastAsia="仿宋"/>
          <w:b w:val="0"/>
          <w:sz w:val="30"/>
          <w:szCs w:val="30"/>
        </w:rPr>
      </w:pPr>
      <w:r>
        <w:rPr>
          <w:rFonts w:hint="eastAsia" w:ascii="仿宋" w:hAnsi="仿宋" w:eastAsia="仿宋"/>
          <w:b w:val="0"/>
          <w:sz w:val="30"/>
          <w:szCs w:val="30"/>
          <w:lang w:eastAsia="zh-CN"/>
        </w:rPr>
        <w:t>佛山市自然资源局</w:t>
      </w:r>
      <w:r>
        <w:rPr>
          <w:rFonts w:hint="eastAsia" w:ascii="仿宋" w:hAnsi="仿宋" w:eastAsia="仿宋"/>
          <w:b w:val="0"/>
          <w:sz w:val="30"/>
          <w:szCs w:val="30"/>
        </w:rPr>
        <w:t>拟定了规范性文件《佛山市海绵城市规划建设管理办法（草案）》。根据《广东省行政机关规范性文件管理规定》和《广东省人民政府办公厅关于进一步加强行政机关规范性文件监督管理工作的意见》（粤府办[2014]32号）有关要求，就文件制定有关事宜作如下说明：</w:t>
      </w:r>
    </w:p>
    <w:p>
      <w:pPr>
        <w:ind w:firstLine="199" w:firstLineChars="66"/>
        <w:rPr>
          <w:rFonts w:ascii="仿宋" w:hAnsi="仿宋" w:eastAsia="仿宋"/>
          <w:bCs w:val="0"/>
          <w:sz w:val="30"/>
          <w:szCs w:val="30"/>
        </w:rPr>
      </w:pPr>
      <w:r>
        <w:rPr>
          <w:rFonts w:hint="eastAsia" w:ascii="仿宋" w:hAnsi="仿宋" w:eastAsia="仿宋"/>
          <w:bCs w:val="0"/>
          <w:sz w:val="30"/>
          <w:szCs w:val="30"/>
        </w:rPr>
        <w:t>一</w:t>
      </w:r>
      <w:r>
        <w:rPr>
          <w:rFonts w:ascii="仿宋" w:hAnsi="仿宋" w:eastAsia="仿宋"/>
          <w:bCs w:val="0"/>
          <w:sz w:val="30"/>
          <w:szCs w:val="30"/>
        </w:rPr>
        <w:t>、</w:t>
      </w:r>
      <w:r>
        <w:rPr>
          <w:rFonts w:hint="eastAsia" w:ascii="仿宋" w:hAnsi="仿宋" w:eastAsia="仿宋"/>
          <w:bCs w:val="0"/>
          <w:sz w:val="30"/>
          <w:szCs w:val="30"/>
        </w:rPr>
        <w:t>制定背景</w:t>
      </w:r>
    </w:p>
    <w:p>
      <w:pPr>
        <w:ind w:firstLine="600"/>
        <w:rPr>
          <w:rFonts w:ascii="仿宋" w:hAnsi="仿宋" w:eastAsia="仿宋"/>
          <w:b w:val="0"/>
          <w:sz w:val="30"/>
          <w:szCs w:val="30"/>
        </w:rPr>
      </w:pPr>
      <w:r>
        <w:rPr>
          <w:rFonts w:hint="eastAsia" w:ascii="仿宋" w:hAnsi="仿宋" w:eastAsia="仿宋"/>
          <w:b w:val="0"/>
          <w:sz w:val="30"/>
          <w:szCs w:val="30"/>
        </w:rPr>
        <w:t>为建设“自然积存、自然渗透、自然净化”的海绵城市，贯彻新型城镇化、中央城市工作会议精神，加快推进我市海绵城市建设，根据市政府的工作部署和要求，规范佛山市海绵城市规划建设管理，结合我市实际情况市自然资源局（原市国土规划局）2017年3月以市府办名义印发实施，《佛山市海绵城市规划建设管理暂行办法》（以下简称《</w:t>
      </w:r>
      <w:r>
        <w:rPr>
          <w:rFonts w:hint="eastAsia" w:ascii="仿宋" w:hAnsi="仿宋" w:eastAsia="仿宋"/>
          <w:b w:val="0"/>
          <w:sz w:val="30"/>
          <w:szCs w:val="30"/>
          <w:lang w:eastAsia="zh-CN"/>
        </w:rPr>
        <w:t>暂行</w:t>
      </w:r>
      <w:r>
        <w:rPr>
          <w:rFonts w:hint="eastAsia" w:ascii="仿宋" w:hAnsi="仿宋" w:eastAsia="仿宋"/>
          <w:b w:val="0"/>
          <w:sz w:val="30"/>
          <w:szCs w:val="30"/>
        </w:rPr>
        <w:t>办法》），《暂行办法》基本实现了我市海绵城市建设管理流程全覆盖，对我市海绵城市建设起着重要作用。现因《暂行办法》已过有效期，且考虑到我市海绵城市建设的实际需要，有必要对</w:t>
      </w:r>
      <w:r>
        <w:rPr>
          <w:rFonts w:hint="eastAsia" w:ascii="仿宋" w:hAnsi="仿宋" w:eastAsia="仿宋"/>
          <w:b w:val="0"/>
          <w:sz w:val="30"/>
          <w:szCs w:val="30"/>
          <w:lang w:eastAsia="zh-CN"/>
        </w:rPr>
        <w:t>《</w:t>
      </w:r>
      <w:r>
        <w:rPr>
          <w:rFonts w:hint="eastAsia" w:ascii="仿宋" w:hAnsi="仿宋" w:eastAsia="仿宋"/>
          <w:b w:val="0"/>
          <w:sz w:val="30"/>
          <w:szCs w:val="30"/>
        </w:rPr>
        <w:t>暂行办法</w:t>
      </w:r>
      <w:r>
        <w:rPr>
          <w:rFonts w:hint="eastAsia" w:ascii="仿宋" w:hAnsi="仿宋" w:eastAsia="仿宋"/>
          <w:b w:val="0"/>
          <w:sz w:val="30"/>
          <w:szCs w:val="30"/>
          <w:lang w:eastAsia="zh-CN"/>
        </w:rPr>
        <w:t>》</w:t>
      </w:r>
      <w:r>
        <w:rPr>
          <w:rFonts w:hint="eastAsia" w:ascii="仿宋" w:hAnsi="仿宋" w:eastAsia="仿宋"/>
          <w:b w:val="0"/>
          <w:sz w:val="30"/>
          <w:szCs w:val="30"/>
        </w:rPr>
        <w:t>进行修订，</w:t>
      </w:r>
      <w:r>
        <w:rPr>
          <w:rFonts w:hint="eastAsia" w:ascii="仿宋" w:hAnsi="仿宋" w:eastAsia="仿宋"/>
          <w:b w:val="0"/>
          <w:sz w:val="30"/>
          <w:szCs w:val="30"/>
          <w:lang w:eastAsia="zh-CN"/>
        </w:rPr>
        <w:t>尽快制定《</w:t>
      </w:r>
      <w:r>
        <w:rPr>
          <w:rFonts w:hint="eastAsia" w:ascii="仿宋" w:hAnsi="仿宋" w:eastAsia="仿宋"/>
          <w:b w:val="0"/>
          <w:bCs w:val="0"/>
          <w:szCs w:val="32"/>
        </w:rPr>
        <w:t>佛山市海绵城市规划建设管理办法</w:t>
      </w:r>
      <w:r>
        <w:rPr>
          <w:rFonts w:hint="eastAsia" w:ascii="仿宋" w:hAnsi="仿宋" w:eastAsia="仿宋"/>
          <w:b w:val="0"/>
          <w:bCs w:val="0"/>
          <w:sz w:val="30"/>
          <w:szCs w:val="30"/>
          <w:lang w:eastAsia="zh-CN"/>
        </w:rPr>
        <w:t>》（</w:t>
      </w:r>
      <w:r>
        <w:rPr>
          <w:rFonts w:hint="eastAsia" w:ascii="仿宋" w:hAnsi="仿宋" w:eastAsia="仿宋"/>
          <w:b w:val="0"/>
          <w:sz w:val="30"/>
          <w:szCs w:val="30"/>
        </w:rPr>
        <w:t>以下简称《</w:t>
      </w:r>
      <w:r>
        <w:rPr>
          <w:rFonts w:hint="eastAsia" w:ascii="仿宋" w:hAnsi="仿宋" w:eastAsia="仿宋"/>
          <w:b w:val="0"/>
          <w:sz w:val="30"/>
          <w:szCs w:val="30"/>
          <w:lang w:eastAsia="zh-CN"/>
        </w:rPr>
        <w:t>管理</w:t>
      </w:r>
      <w:r>
        <w:rPr>
          <w:rFonts w:hint="eastAsia" w:ascii="仿宋" w:hAnsi="仿宋" w:eastAsia="仿宋"/>
          <w:b w:val="0"/>
          <w:sz w:val="30"/>
          <w:szCs w:val="30"/>
        </w:rPr>
        <w:t>办法》</w:t>
      </w:r>
      <w:r>
        <w:rPr>
          <w:rFonts w:hint="eastAsia" w:ascii="仿宋" w:hAnsi="仿宋" w:eastAsia="仿宋"/>
          <w:b w:val="0"/>
          <w:bCs w:val="0"/>
          <w:sz w:val="30"/>
          <w:szCs w:val="30"/>
          <w:lang w:eastAsia="zh-CN"/>
        </w:rPr>
        <w:t>），进一步</w:t>
      </w:r>
      <w:r>
        <w:rPr>
          <w:rFonts w:hint="eastAsia" w:ascii="仿宋" w:hAnsi="仿宋" w:eastAsia="仿宋"/>
          <w:b w:val="0"/>
          <w:sz w:val="30"/>
          <w:szCs w:val="30"/>
        </w:rPr>
        <w:t>加强对海绵城市建设</w:t>
      </w:r>
      <w:r>
        <w:rPr>
          <w:rFonts w:hint="eastAsia" w:ascii="仿宋" w:hAnsi="仿宋" w:eastAsia="仿宋"/>
          <w:b w:val="0"/>
          <w:sz w:val="30"/>
          <w:szCs w:val="30"/>
          <w:lang w:eastAsia="zh-CN"/>
        </w:rPr>
        <w:t>的</w:t>
      </w:r>
      <w:r>
        <w:rPr>
          <w:rFonts w:hint="eastAsia" w:ascii="仿宋" w:hAnsi="仿宋" w:eastAsia="仿宋"/>
          <w:b w:val="0"/>
          <w:sz w:val="30"/>
          <w:szCs w:val="30"/>
        </w:rPr>
        <w:t>管控。</w:t>
      </w:r>
    </w:p>
    <w:p>
      <w:pPr>
        <w:ind w:firstLine="199" w:firstLineChars="66"/>
        <w:rPr>
          <w:rFonts w:hint="eastAsia" w:ascii="仿宋" w:hAnsi="仿宋" w:eastAsia="仿宋"/>
          <w:bCs w:val="0"/>
          <w:sz w:val="30"/>
          <w:szCs w:val="30"/>
        </w:rPr>
      </w:pPr>
      <w:r>
        <w:rPr>
          <w:rFonts w:hint="eastAsia" w:ascii="仿宋" w:hAnsi="仿宋" w:eastAsia="仿宋"/>
          <w:bCs w:val="0"/>
          <w:sz w:val="30"/>
          <w:szCs w:val="30"/>
        </w:rPr>
        <w:t>二、法律法规政策</w:t>
      </w:r>
      <w:r>
        <w:rPr>
          <w:rFonts w:ascii="仿宋" w:hAnsi="仿宋" w:eastAsia="仿宋"/>
          <w:bCs w:val="0"/>
          <w:sz w:val="30"/>
          <w:szCs w:val="30"/>
        </w:rPr>
        <w:t>依据</w:t>
      </w:r>
    </w:p>
    <w:p>
      <w:pPr>
        <w:ind w:firstLine="198" w:firstLineChars="66"/>
        <w:rPr>
          <w:rFonts w:hint="eastAsia" w:ascii="仿宋" w:hAnsi="仿宋" w:eastAsia="仿宋"/>
          <w:b w:val="0"/>
          <w:sz w:val="30"/>
          <w:szCs w:val="30"/>
        </w:rPr>
      </w:pPr>
      <w:r>
        <w:rPr>
          <w:rFonts w:hint="eastAsia" w:ascii="仿宋" w:hAnsi="仿宋" w:eastAsia="仿宋"/>
          <w:b w:val="0"/>
          <w:sz w:val="30"/>
          <w:szCs w:val="30"/>
        </w:rPr>
        <w:t>（1</w:t>
      </w:r>
      <w:r>
        <w:rPr>
          <w:rFonts w:ascii="仿宋" w:hAnsi="仿宋" w:eastAsia="仿宋"/>
          <w:b w:val="0"/>
          <w:sz w:val="30"/>
          <w:szCs w:val="30"/>
        </w:rPr>
        <w:t>）</w:t>
      </w:r>
      <w:r>
        <w:rPr>
          <w:rFonts w:hint="eastAsia" w:ascii="仿宋" w:hAnsi="仿宋" w:eastAsia="仿宋"/>
          <w:b w:val="0"/>
          <w:sz w:val="30"/>
          <w:szCs w:val="30"/>
        </w:rPr>
        <w:t>《中华人民共和国城乡规划法》</w:t>
      </w:r>
    </w:p>
    <w:p>
      <w:pPr>
        <w:ind w:firstLine="198" w:firstLineChars="66"/>
        <w:rPr>
          <w:rFonts w:hint="eastAsia" w:ascii="仿宋" w:hAnsi="仿宋" w:eastAsia="仿宋"/>
          <w:b w:val="0"/>
          <w:sz w:val="30"/>
          <w:szCs w:val="30"/>
        </w:rPr>
      </w:pPr>
      <w:r>
        <w:rPr>
          <w:rFonts w:hint="eastAsia" w:ascii="仿宋" w:hAnsi="仿宋" w:eastAsia="仿宋"/>
          <w:b w:val="0"/>
          <w:sz w:val="30"/>
          <w:szCs w:val="30"/>
        </w:rPr>
        <w:t>（2</w:t>
      </w:r>
      <w:r>
        <w:rPr>
          <w:rFonts w:ascii="仿宋" w:hAnsi="仿宋" w:eastAsia="仿宋"/>
          <w:b w:val="0"/>
          <w:sz w:val="30"/>
          <w:szCs w:val="30"/>
        </w:rPr>
        <w:t>）</w:t>
      </w:r>
      <w:r>
        <w:rPr>
          <w:rFonts w:hint="eastAsia" w:ascii="仿宋" w:hAnsi="仿宋" w:eastAsia="仿宋"/>
          <w:b w:val="0"/>
          <w:sz w:val="30"/>
          <w:szCs w:val="30"/>
        </w:rPr>
        <w:t>《中华人民共和国建筑法》</w:t>
      </w:r>
    </w:p>
    <w:p>
      <w:pPr>
        <w:ind w:firstLine="198" w:firstLineChars="66"/>
        <w:rPr>
          <w:rFonts w:hint="eastAsia" w:ascii="仿宋" w:hAnsi="仿宋" w:eastAsia="仿宋"/>
          <w:b w:val="0"/>
          <w:sz w:val="30"/>
          <w:szCs w:val="30"/>
        </w:rPr>
      </w:pPr>
      <w:r>
        <w:rPr>
          <w:rFonts w:hint="eastAsia" w:ascii="仿宋" w:hAnsi="仿宋" w:eastAsia="仿宋"/>
          <w:b w:val="0"/>
          <w:sz w:val="30"/>
          <w:szCs w:val="30"/>
        </w:rPr>
        <w:t>（3</w:t>
      </w:r>
      <w:r>
        <w:rPr>
          <w:rFonts w:ascii="仿宋" w:hAnsi="仿宋" w:eastAsia="仿宋"/>
          <w:b w:val="0"/>
          <w:sz w:val="30"/>
          <w:szCs w:val="30"/>
        </w:rPr>
        <w:t>）</w:t>
      </w:r>
      <w:r>
        <w:rPr>
          <w:rFonts w:hint="eastAsia" w:ascii="仿宋" w:hAnsi="仿宋" w:eastAsia="仿宋"/>
          <w:b w:val="0"/>
          <w:sz w:val="30"/>
          <w:szCs w:val="30"/>
        </w:rPr>
        <w:t>《中华人民共和国水法》</w:t>
      </w:r>
    </w:p>
    <w:p>
      <w:pPr>
        <w:ind w:firstLine="198" w:firstLineChars="66"/>
        <w:rPr>
          <w:rFonts w:ascii="仿宋" w:hAnsi="仿宋" w:eastAsia="仿宋"/>
          <w:b w:val="0"/>
          <w:sz w:val="30"/>
          <w:szCs w:val="30"/>
        </w:rPr>
      </w:pPr>
      <w:r>
        <w:rPr>
          <w:rFonts w:ascii="仿宋" w:hAnsi="仿宋" w:eastAsia="仿宋"/>
          <w:b w:val="0"/>
          <w:sz w:val="30"/>
          <w:szCs w:val="30"/>
        </w:rPr>
        <w:t>（</w:t>
      </w:r>
      <w:r>
        <w:rPr>
          <w:rFonts w:hint="eastAsia" w:ascii="仿宋" w:hAnsi="仿宋" w:eastAsia="仿宋"/>
          <w:b w:val="0"/>
          <w:sz w:val="30"/>
          <w:szCs w:val="30"/>
        </w:rPr>
        <w:t>4</w:t>
      </w:r>
      <w:r>
        <w:rPr>
          <w:rFonts w:ascii="仿宋" w:hAnsi="仿宋" w:eastAsia="仿宋"/>
          <w:b w:val="0"/>
          <w:sz w:val="30"/>
          <w:szCs w:val="30"/>
        </w:rPr>
        <w:t>）</w:t>
      </w:r>
      <w:r>
        <w:rPr>
          <w:rFonts w:hint="eastAsia" w:ascii="仿宋" w:hAnsi="仿宋" w:eastAsia="仿宋"/>
          <w:b w:val="0"/>
          <w:sz w:val="30"/>
          <w:szCs w:val="30"/>
        </w:rPr>
        <w:t>《建设工程质量管理条例》</w:t>
      </w:r>
    </w:p>
    <w:p>
      <w:pPr>
        <w:ind w:firstLine="300" w:firstLineChars="100"/>
        <w:rPr>
          <w:rFonts w:ascii="仿宋" w:hAnsi="仿宋" w:eastAsia="仿宋"/>
          <w:b w:val="0"/>
          <w:sz w:val="30"/>
          <w:szCs w:val="30"/>
        </w:rPr>
      </w:pPr>
      <w:r>
        <w:rPr>
          <w:rFonts w:hint="eastAsia" w:ascii="仿宋" w:hAnsi="仿宋" w:eastAsia="仿宋"/>
          <w:b w:val="0"/>
          <w:sz w:val="30"/>
          <w:szCs w:val="30"/>
        </w:rPr>
        <w:t>（5</w:t>
      </w:r>
      <w:r>
        <w:rPr>
          <w:rFonts w:ascii="仿宋" w:hAnsi="仿宋" w:eastAsia="仿宋"/>
          <w:b w:val="0"/>
          <w:sz w:val="30"/>
          <w:szCs w:val="30"/>
        </w:rPr>
        <w:t>）</w:t>
      </w:r>
      <w:r>
        <w:rPr>
          <w:rFonts w:hint="eastAsia" w:ascii="仿宋" w:hAnsi="仿宋" w:eastAsia="仿宋"/>
          <w:b w:val="0"/>
          <w:sz w:val="30"/>
          <w:szCs w:val="30"/>
        </w:rPr>
        <w:t>《国务院关于加强城市基础设施建设的意见》（国发〔2013〕36号）；</w:t>
      </w:r>
    </w:p>
    <w:p>
      <w:pPr>
        <w:ind w:firstLine="300" w:firstLineChars="100"/>
        <w:rPr>
          <w:rFonts w:ascii="仿宋" w:hAnsi="仿宋" w:eastAsia="仿宋"/>
          <w:b w:val="0"/>
          <w:sz w:val="30"/>
          <w:szCs w:val="30"/>
        </w:rPr>
      </w:pPr>
      <w:r>
        <w:rPr>
          <w:rFonts w:hint="eastAsia" w:ascii="仿宋" w:hAnsi="仿宋" w:eastAsia="仿宋"/>
          <w:b w:val="0"/>
          <w:sz w:val="30"/>
          <w:szCs w:val="30"/>
        </w:rPr>
        <w:t>（6</w:t>
      </w:r>
      <w:r>
        <w:rPr>
          <w:rFonts w:ascii="仿宋" w:hAnsi="仿宋" w:eastAsia="仿宋"/>
          <w:b w:val="0"/>
          <w:sz w:val="30"/>
          <w:szCs w:val="30"/>
        </w:rPr>
        <w:t>）</w:t>
      </w:r>
      <w:r>
        <w:rPr>
          <w:rFonts w:hint="eastAsia" w:ascii="仿宋" w:hAnsi="仿宋" w:eastAsia="仿宋"/>
          <w:b w:val="0"/>
          <w:sz w:val="30"/>
          <w:szCs w:val="30"/>
        </w:rPr>
        <w:t>《国务院办公厅关于做好城市排水防涝设施建设工作的通知》（国办发〔2013〕23号）；</w:t>
      </w:r>
    </w:p>
    <w:p>
      <w:pPr>
        <w:ind w:firstLine="348" w:firstLineChars="116"/>
        <w:rPr>
          <w:rFonts w:ascii="仿宋" w:hAnsi="仿宋" w:eastAsia="仿宋"/>
          <w:b w:val="0"/>
          <w:sz w:val="30"/>
          <w:szCs w:val="30"/>
        </w:rPr>
      </w:pPr>
      <w:r>
        <w:rPr>
          <w:rFonts w:hint="eastAsia" w:ascii="仿宋" w:hAnsi="仿宋" w:eastAsia="仿宋"/>
          <w:b w:val="0"/>
          <w:sz w:val="30"/>
          <w:szCs w:val="30"/>
        </w:rPr>
        <w:t>（7</w:t>
      </w:r>
      <w:r>
        <w:rPr>
          <w:rFonts w:ascii="仿宋" w:hAnsi="仿宋" w:eastAsia="仿宋"/>
          <w:b w:val="0"/>
          <w:sz w:val="30"/>
          <w:szCs w:val="30"/>
        </w:rPr>
        <w:t>）</w:t>
      </w:r>
      <w:r>
        <w:rPr>
          <w:rFonts w:hint="eastAsia" w:ascii="仿宋" w:hAnsi="仿宋" w:eastAsia="仿宋"/>
          <w:b w:val="0"/>
          <w:sz w:val="30"/>
          <w:szCs w:val="30"/>
        </w:rPr>
        <w:t>《城镇排水与污水处理条例》（国务院令第641号）；</w:t>
      </w:r>
    </w:p>
    <w:p>
      <w:pPr>
        <w:ind w:firstLine="300" w:firstLineChars="100"/>
        <w:rPr>
          <w:rFonts w:ascii="仿宋" w:hAnsi="仿宋" w:eastAsia="仿宋"/>
          <w:b w:val="0"/>
          <w:sz w:val="30"/>
          <w:szCs w:val="30"/>
        </w:rPr>
      </w:pPr>
      <w:r>
        <w:rPr>
          <w:rFonts w:ascii="仿宋" w:hAnsi="仿宋" w:eastAsia="仿宋"/>
          <w:b w:val="0"/>
          <w:sz w:val="30"/>
          <w:szCs w:val="30"/>
        </w:rPr>
        <w:t>（</w:t>
      </w:r>
      <w:r>
        <w:rPr>
          <w:rFonts w:hint="eastAsia" w:ascii="仿宋" w:hAnsi="仿宋" w:eastAsia="仿宋"/>
          <w:b w:val="0"/>
          <w:sz w:val="30"/>
          <w:szCs w:val="30"/>
        </w:rPr>
        <w:t>8</w:t>
      </w:r>
      <w:r>
        <w:rPr>
          <w:rFonts w:ascii="仿宋" w:hAnsi="仿宋" w:eastAsia="仿宋"/>
          <w:b w:val="0"/>
          <w:sz w:val="30"/>
          <w:szCs w:val="30"/>
        </w:rPr>
        <w:t>）</w:t>
      </w:r>
      <w:r>
        <w:rPr>
          <w:rFonts w:hint="eastAsia" w:ascii="仿宋" w:hAnsi="仿宋" w:eastAsia="仿宋"/>
          <w:b w:val="0"/>
          <w:sz w:val="30"/>
          <w:szCs w:val="30"/>
        </w:rPr>
        <w:t>《国务院办公厅关于推进海绵城市建设的指导意见》（国办发〔2015〕75号）；</w:t>
      </w:r>
    </w:p>
    <w:p>
      <w:pPr>
        <w:ind w:firstLine="300" w:firstLineChars="100"/>
        <w:rPr>
          <w:rFonts w:ascii="仿宋" w:hAnsi="仿宋" w:eastAsia="仿宋"/>
          <w:b w:val="0"/>
          <w:sz w:val="30"/>
          <w:szCs w:val="30"/>
        </w:rPr>
      </w:pPr>
      <w:r>
        <w:rPr>
          <w:rFonts w:hint="eastAsia" w:ascii="仿宋" w:hAnsi="仿宋" w:eastAsia="仿宋"/>
          <w:b w:val="0"/>
          <w:sz w:val="30"/>
          <w:szCs w:val="30"/>
        </w:rPr>
        <w:t>（9）《中共中央国务院关于进一步加强城市规划建设管理工作的若干意见》（中发[2016]6号）；</w:t>
      </w:r>
    </w:p>
    <w:p>
      <w:pPr>
        <w:ind w:firstLine="300" w:firstLineChars="100"/>
        <w:rPr>
          <w:rFonts w:ascii="仿宋" w:hAnsi="仿宋" w:eastAsia="仿宋"/>
          <w:b w:val="0"/>
          <w:sz w:val="30"/>
          <w:szCs w:val="30"/>
        </w:rPr>
      </w:pPr>
      <w:r>
        <w:rPr>
          <w:rFonts w:hint="eastAsia" w:ascii="仿宋" w:hAnsi="仿宋" w:eastAsia="仿宋"/>
          <w:b w:val="0"/>
          <w:sz w:val="30"/>
          <w:szCs w:val="30"/>
        </w:rPr>
        <w:t>（10</w:t>
      </w:r>
      <w:r>
        <w:rPr>
          <w:rFonts w:ascii="仿宋" w:hAnsi="仿宋" w:eastAsia="仿宋"/>
          <w:b w:val="0"/>
          <w:sz w:val="30"/>
          <w:szCs w:val="30"/>
        </w:rPr>
        <w:t>）</w:t>
      </w:r>
      <w:r>
        <w:rPr>
          <w:rFonts w:hint="eastAsia" w:ascii="仿宋" w:hAnsi="仿宋" w:eastAsia="仿宋"/>
          <w:b w:val="0"/>
          <w:sz w:val="30"/>
          <w:szCs w:val="30"/>
        </w:rPr>
        <w:t>《国务院关于深入推进新型城镇化建设的若干意见》（国发[2016]8号）；</w:t>
      </w:r>
    </w:p>
    <w:p>
      <w:pPr>
        <w:ind w:firstLine="450" w:firstLineChars="150"/>
        <w:rPr>
          <w:rFonts w:ascii="仿宋" w:hAnsi="仿宋" w:eastAsia="仿宋"/>
          <w:b w:val="0"/>
          <w:sz w:val="30"/>
          <w:szCs w:val="30"/>
        </w:rPr>
      </w:pPr>
      <w:r>
        <w:rPr>
          <w:rFonts w:hint="eastAsia" w:ascii="仿宋" w:hAnsi="仿宋" w:eastAsia="仿宋"/>
          <w:b w:val="0"/>
          <w:sz w:val="30"/>
          <w:szCs w:val="30"/>
        </w:rPr>
        <w:t>（11</w:t>
      </w:r>
      <w:r>
        <w:rPr>
          <w:rFonts w:ascii="仿宋" w:hAnsi="仿宋" w:eastAsia="仿宋"/>
          <w:b w:val="0"/>
          <w:sz w:val="30"/>
          <w:szCs w:val="30"/>
        </w:rPr>
        <w:t>）</w:t>
      </w:r>
      <w:r>
        <w:rPr>
          <w:rFonts w:hint="eastAsia" w:ascii="仿宋" w:hAnsi="仿宋" w:eastAsia="仿宋"/>
          <w:b w:val="0"/>
          <w:sz w:val="30"/>
          <w:szCs w:val="30"/>
        </w:rPr>
        <w:t>《广东省人民政府办公厅关于推进海绵城市建设的实施意见》（粤府办〔2016〕53号）等文件精神的体现；</w:t>
      </w:r>
    </w:p>
    <w:p>
      <w:pPr>
        <w:ind w:firstLine="450" w:firstLineChars="150"/>
        <w:rPr>
          <w:rFonts w:hint="eastAsia" w:ascii="仿宋" w:hAnsi="仿宋" w:eastAsia="仿宋"/>
          <w:b w:val="0"/>
          <w:sz w:val="30"/>
          <w:szCs w:val="30"/>
        </w:rPr>
      </w:pPr>
      <w:r>
        <w:rPr>
          <w:rFonts w:hint="eastAsia" w:ascii="仿宋" w:hAnsi="仿宋" w:eastAsia="仿宋"/>
          <w:b w:val="0"/>
          <w:sz w:val="30"/>
          <w:szCs w:val="30"/>
        </w:rPr>
        <w:t>（12</w:t>
      </w:r>
      <w:r>
        <w:rPr>
          <w:rFonts w:ascii="仿宋" w:hAnsi="仿宋" w:eastAsia="仿宋"/>
          <w:b w:val="0"/>
          <w:sz w:val="30"/>
          <w:szCs w:val="30"/>
        </w:rPr>
        <w:t>）</w:t>
      </w:r>
      <w:r>
        <w:rPr>
          <w:rFonts w:hint="eastAsia" w:ascii="仿宋" w:hAnsi="仿宋" w:eastAsia="仿宋"/>
          <w:b w:val="0"/>
          <w:sz w:val="30"/>
          <w:szCs w:val="30"/>
        </w:rPr>
        <w:t>《佛山市人民政府关于推进海绵城市建设的实施意见》（佛府〔2016〕5号）；</w:t>
      </w:r>
    </w:p>
    <w:p>
      <w:pPr>
        <w:ind w:firstLine="600"/>
        <w:rPr>
          <w:rFonts w:ascii="仿宋" w:hAnsi="仿宋" w:eastAsia="仿宋"/>
          <w:b w:val="0"/>
          <w:sz w:val="30"/>
          <w:szCs w:val="30"/>
        </w:rPr>
      </w:pPr>
    </w:p>
    <w:p>
      <w:pPr>
        <w:ind w:firstLine="199" w:firstLineChars="66"/>
        <w:rPr>
          <w:rFonts w:ascii="仿宋" w:hAnsi="仿宋" w:eastAsia="仿宋"/>
          <w:bCs w:val="0"/>
          <w:sz w:val="30"/>
          <w:szCs w:val="30"/>
        </w:rPr>
      </w:pPr>
      <w:r>
        <w:rPr>
          <w:rFonts w:hint="eastAsia" w:ascii="仿宋" w:hAnsi="仿宋" w:eastAsia="仿宋"/>
          <w:bCs w:val="0"/>
          <w:sz w:val="30"/>
          <w:szCs w:val="30"/>
        </w:rPr>
        <w:t>三、文件的制定程序说明</w:t>
      </w:r>
    </w:p>
    <w:p>
      <w:pPr>
        <w:ind w:firstLine="600"/>
        <w:rPr>
          <w:rFonts w:hint="eastAsia" w:ascii="仿宋" w:hAnsi="仿宋" w:eastAsia="仿宋"/>
          <w:b w:val="0"/>
          <w:sz w:val="30"/>
          <w:szCs w:val="30"/>
          <w:lang w:val="en-US" w:eastAsia="zh-CN"/>
        </w:rPr>
      </w:pPr>
      <w:r>
        <w:rPr>
          <w:rFonts w:hint="eastAsia" w:ascii="仿宋" w:hAnsi="仿宋" w:eastAsia="仿宋"/>
          <w:b w:val="0"/>
          <w:sz w:val="30"/>
          <w:szCs w:val="30"/>
        </w:rPr>
        <w:t>在起草过程中，我局对已印发的《暂行办法》各部门的执行情况进行了全面摸查，并对以下内容进行了梳理：1、梳理总结了国家、省、</w:t>
      </w:r>
      <w:r>
        <w:rPr>
          <w:rFonts w:ascii="仿宋" w:hAnsi="仿宋" w:eastAsia="仿宋"/>
          <w:b w:val="0"/>
          <w:sz w:val="30"/>
          <w:szCs w:val="30"/>
        </w:rPr>
        <w:t>市</w:t>
      </w:r>
      <w:r>
        <w:rPr>
          <w:rFonts w:hint="eastAsia" w:ascii="仿宋" w:hAnsi="仿宋" w:eastAsia="仿宋"/>
          <w:b w:val="0"/>
          <w:sz w:val="30"/>
          <w:szCs w:val="30"/>
        </w:rPr>
        <w:t>层面关于海绵城市建设的政策</w:t>
      </w:r>
      <w:r>
        <w:rPr>
          <w:rFonts w:ascii="仿宋" w:hAnsi="仿宋" w:eastAsia="仿宋"/>
          <w:b w:val="0"/>
          <w:sz w:val="30"/>
          <w:szCs w:val="30"/>
        </w:rPr>
        <w:t>及</w:t>
      </w:r>
      <w:r>
        <w:rPr>
          <w:rFonts w:hint="eastAsia" w:ascii="仿宋" w:hAnsi="仿宋" w:eastAsia="仿宋"/>
          <w:b w:val="0"/>
          <w:sz w:val="30"/>
          <w:szCs w:val="30"/>
        </w:rPr>
        <w:t>绩效</w:t>
      </w:r>
      <w:r>
        <w:rPr>
          <w:rFonts w:ascii="仿宋" w:hAnsi="仿宋" w:eastAsia="仿宋"/>
          <w:b w:val="0"/>
          <w:sz w:val="30"/>
          <w:szCs w:val="30"/>
        </w:rPr>
        <w:t>考核要求</w:t>
      </w:r>
      <w:r>
        <w:rPr>
          <w:rFonts w:hint="eastAsia" w:ascii="仿宋" w:hAnsi="仿宋" w:eastAsia="仿宋"/>
          <w:b w:val="0"/>
          <w:sz w:val="30"/>
          <w:szCs w:val="30"/>
        </w:rPr>
        <w:t>；2、参考全国海绵试点城市的做法，学习其可取之处，形成《管理办法》。3、进行反复征求意见，对《管理办法》的科学性</w:t>
      </w:r>
      <w:r>
        <w:rPr>
          <w:rFonts w:ascii="仿宋" w:hAnsi="仿宋" w:eastAsia="仿宋"/>
          <w:b w:val="0"/>
          <w:sz w:val="30"/>
          <w:szCs w:val="30"/>
        </w:rPr>
        <w:t>及</w:t>
      </w:r>
      <w:r>
        <w:rPr>
          <w:rFonts w:hint="eastAsia" w:ascii="仿宋" w:hAnsi="仿宋" w:eastAsia="仿宋"/>
          <w:b w:val="0"/>
          <w:sz w:val="30"/>
          <w:szCs w:val="30"/>
        </w:rPr>
        <w:t>可操作性反复讨论修改；4、已于市政府网站及市自然资源局公开征求公众意见，公示期间公众对该办法无异议。5、已征求自然资源局政策法规科意见，同意经局领导集体讨论后，作为政府规范性文件提交市司法局审查。6、经局领导集体讨论同意按程序上报</w:t>
      </w:r>
      <w:r>
        <w:rPr>
          <w:rFonts w:hint="eastAsia" w:ascii="仿宋" w:hAnsi="仿宋" w:eastAsia="仿宋"/>
          <w:b w:val="0"/>
          <w:sz w:val="30"/>
          <w:szCs w:val="30"/>
          <w:lang w:eastAsia="zh-CN"/>
        </w:rPr>
        <w:t>市司法局</w:t>
      </w:r>
      <w:r>
        <w:rPr>
          <w:rFonts w:hint="eastAsia" w:ascii="仿宋" w:hAnsi="仿宋" w:eastAsia="仿宋"/>
          <w:b w:val="0"/>
          <w:sz w:val="30"/>
          <w:szCs w:val="30"/>
        </w:rPr>
        <w:t>。</w:t>
      </w:r>
      <w:r>
        <w:rPr>
          <w:rFonts w:hint="eastAsia" w:ascii="仿宋" w:hAnsi="仿宋" w:eastAsia="仿宋"/>
          <w:b w:val="0"/>
          <w:sz w:val="30"/>
          <w:szCs w:val="30"/>
          <w:lang w:val="en-US" w:eastAsia="zh-CN"/>
        </w:rPr>
        <w:t>7、市司法局已对该办法提出审查意见，我局已按照司法局意见进行了完善。</w:t>
      </w:r>
    </w:p>
    <w:p>
      <w:pPr>
        <w:ind w:firstLine="0" w:firstLineChars="0"/>
        <w:rPr>
          <w:rFonts w:ascii="仿宋" w:hAnsi="仿宋" w:eastAsia="仿宋"/>
          <w:bCs w:val="0"/>
          <w:sz w:val="30"/>
          <w:szCs w:val="30"/>
        </w:rPr>
      </w:pPr>
      <w:r>
        <w:rPr>
          <w:rFonts w:hint="eastAsia" w:ascii="仿宋" w:hAnsi="仿宋" w:eastAsia="仿宋"/>
          <w:bCs w:val="0"/>
          <w:sz w:val="30"/>
          <w:szCs w:val="30"/>
        </w:rPr>
        <w:t>四、编制的主要内容</w:t>
      </w:r>
    </w:p>
    <w:p>
      <w:pPr>
        <w:ind w:firstLine="600"/>
        <w:rPr>
          <w:rFonts w:ascii="仿宋" w:hAnsi="仿宋" w:eastAsia="仿宋"/>
          <w:b w:val="0"/>
          <w:sz w:val="30"/>
          <w:szCs w:val="30"/>
        </w:rPr>
      </w:pPr>
      <w:r>
        <w:rPr>
          <w:rFonts w:hint="eastAsia" w:ascii="仿宋" w:hAnsi="仿宋" w:eastAsia="仿宋"/>
          <w:b w:val="0"/>
          <w:sz w:val="30"/>
          <w:szCs w:val="30"/>
        </w:rPr>
        <w:t>《管理办法》共分为五章</w:t>
      </w:r>
      <w:r>
        <w:rPr>
          <w:rFonts w:hint="eastAsia" w:ascii="仿宋" w:hAnsi="仿宋" w:eastAsia="仿宋"/>
          <w:b w:val="0"/>
          <w:sz w:val="30"/>
          <w:szCs w:val="30"/>
          <w:lang w:eastAsia="zh-CN"/>
        </w:rPr>
        <w:t>十九</w:t>
      </w:r>
      <w:r>
        <w:rPr>
          <w:rFonts w:hint="eastAsia" w:ascii="仿宋" w:hAnsi="仿宋" w:eastAsia="仿宋"/>
          <w:b w:val="0"/>
          <w:sz w:val="30"/>
          <w:szCs w:val="30"/>
        </w:rPr>
        <w:t>条，主要在以下5个方面进行了管理规定。</w:t>
      </w:r>
    </w:p>
    <w:p>
      <w:pPr>
        <w:ind w:firstLine="600"/>
        <w:rPr>
          <w:rFonts w:ascii="仿宋" w:hAnsi="仿宋" w:eastAsia="仿宋"/>
          <w:b w:val="0"/>
          <w:sz w:val="30"/>
          <w:szCs w:val="30"/>
        </w:rPr>
      </w:pPr>
      <w:r>
        <w:rPr>
          <w:rFonts w:hint="eastAsia" w:ascii="仿宋" w:hAnsi="仿宋" w:eastAsia="仿宋"/>
          <w:b w:val="0"/>
          <w:sz w:val="30"/>
          <w:szCs w:val="30"/>
        </w:rPr>
        <w:t>1、规划编制管理方面（第四条-第八条）。</w:t>
      </w:r>
    </w:p>
    <w:p>
      <w:pPr>
        <w:ind w:firstLine="600"/>
        <w:rPr>
          <w:rFonts w:ascii="仿宋" w:hAnsi="仿宋" w:eastAsia="仿宋"/>
          <w:b w:val="0"/>
          <w:sz w:val="30"/>
          <w:szCs w:val="30"/>
        </w:rPr>
      </w:pPr>
      <w:r>
        <w:rPr>
          <w:rFonts w:hint="eastAsia" w:ascii="仿宋" w:hAnsi="仿宋" w:eastAsia="仿宋"/>
          <w:b w:val="0"/>
          <w:sz w:val="30"/>
          <w:szCs w:val="30"/>
        </w:rPr>
        <w:t>一是突出海绵城市建设的规划统筹作用，明确了海绵城市建设规划是城市规划的重要组成部分，实现了海绵城市建设与现有城市规划体系的衔接；二是明确了海绵城市建设规划的编制、报批的要求和规定。</w:t>
      </w:r>
    </w:p>
    <w:p>
      <w:pPr>
        <w:ind w:firstLine="600"/>
        <w:rPr>
          <w:rFonts w:ascii="仿宋" w:hAnsi="仿宋" w:eastAsia="仿宋"/>
          <w:b w:val="0"/>
          <w:sz w:val="30"/>
          <w:szCs w:val="30"/>
        </w:rPr>
      </w:pPr>
      <w:r>
        <w:rPr>
          <w:rFonts w:hint="eastAsia" w:ascii="仿宋" w:hAnsi="仿宋" w:eastAsia="仿宋"/>
          <w:b w:val="0"/>
          <w:sz w:val="30"/>
          <w:szCs w:val="30"/>
        </w:rPr>
        <w:t>2、方案审批管理方面（第九条-第十</w:t>
      </w:r>
      <w:r>
        <w:rPr>
          <w:rFonts w:hint="eastAsia" w:ascii="仿宋" w:hAnsi="仿宋" w:eastAsia="仿宋"/>
          <w:b w:val="0"/>
          <w:sz w:val="30"/>
          <w:szCs w:val="30"/>
          <w:lang w:eastAsia="zh-CN"/>
        </w:rPr>
        <w:t>一</w:t>
      </w:r>
      <w:r>
        <w:rPr>
          <w:rFonts w:hint="eastAsia" w:ascii="仿宋" w:hAnsi="仿宋" w:eastAsia="仿宋"/>
          <w:b w:val="0"/>
          <w:sz w:val="30"/>
          <w:szCs w:val="30"/>
        </w:rPr>
        <w:t>条）。</w:t>
      </w:r>
    </w:p>
    <w:p>
      <w:pPr>
        <w:ind w:firstLine="600"/>
        <w:rPr>
          <w:rFonts w:ascii="仿宋" w:hAnsi="仿宋" w:eastAsia="仿宋"/>
          <w:b w:val="0"/>
          <w:sz w:val="30"/>
          <w:szCs w:val="30"/>
        </w:rPr>
      </w:pPr>
      <w:r>
        <w:rPr>
          <w:rFonts w:hint="eastAsia" w:ascii="仿宋" w:hAnsi="仿宋" w:eastAsia="仿宋"/>
          <w:b w:val="0"/>
          <w:sz w:val="30"/>
          <w:szCs w:val="30"/>
        </w:rPr>
        <w:t>海绵城市建设要求作为城市规划许可和项目建设的前置条件。土地划拨（出让）供地的建设项目，海绵城市建设可随同地面设施建设一并办理用地审批手续，有利于规范和引导用地单位顺利办理各项审批手续。</w:t>
      </w:r>
    </w:p>
    <w:p>
      <w:pPr>
        <w:ind w:firstLine="600"/>
        <w:rPr>
          <w:rFonts w:ascii="仿宋" w:hAnsi="仿宋" w:eastAsia="仿宋"/>
          <w:b w:val="0"/>
          <w:sz w:val="30"/>
          <w:szCs w:val="30"/>
        </w:rPr>
      </w:pPr>
      <w:r>
        <w:rPr>
          <w:rFonts w:hint="eastAsia" w:ascii="仿宋" w:hAnsi="仿宋" w:eastAsia="仿宋"/>
          <w:b w:val="0"/>
          <w:sz w:val="30"/>
          <w:szCs w:val="30"/>
        </w:rPr>
        <w:t>3、工程建设管理方面（第十</w:t>
      </w:r>
      <w:r>
        <w:rPr>
          <w:rFonts w:hint="eastAsia" w:ascii="仿宋" w:hAnsi="仿宋" w:eastAsia="仿宋"/>
          <w:b w:val="0"/>
          <w:sz w:val="30"/>
          <w:szCs w:val="30"/>
          <w:lang w:eastAsia="zh-CN"/>
        </w:rPr>
        <w:t>二</w:t>
      </w:r>
      <w:r>
        <w:rPr>
          <w:rFonts w:hint="eastAsia" w:ascii="仿宋" w:hAnsi="仿宋" w:eastAsia="仿宋"/>
          <w:b w:val="0"/>
          <w:sz w:val="30"/>
          <w:szCs w:val="30"/>
        </w:rPr>
        <w:t>条-第十</w:t>
      </w:r>
      <w:r>
        <w:rPr>
          <w:rFonts w:hint="eastAsia" w:ascii="仿宋" w:hAnsi="仿宋" w:eastAsia="仿宋"/>
          <w:b w:val="0"/>
          <w:sz w:val="30"/>
          <w:szCs w:val="30"/>
          <w:lang w:eastAsia="zh-CN"/>
        </w:rPr>
        <w:t>四</w:t>
      </w:r>
      <w:r>
        <w:rPr>
          <w:rFonts w:hint="eastAsia" w:ascii="仿宋" w:hAnsi="仿宋" w:eastAsia="仿宋"/>
          <w:b w:val="0"/>
          <w:sz w:val="30"/>
          <w:szCs w:val="30"/>
        </w:rPr>
        <w:t>条）。一是规范海绵城市建设管理，实现对海绵城市建设的精细化管理。着重加强海绵城市建设的施工管理。二是形成了全程规范化的管理体系，从设计要求、设计审查、施工许可、竣工验收、档案管理等方面加强对工程建设的有力控制和引导。</w:t>
      </w:r>
    </w:p>
    <w:p>
      <w:pPr>
        <w:ind w:firstLine="600"/>
        <w:rPr>
          <w:rFonts w:ascii="仿宋" w:hAnsi="仿宋" w:eastAsia="仿宋"/>
          <w:b w:val="0"/>
          <w:sz w:val="30"/>
          <w:szCs w:val="30"/>
        </w:rPr>
      </w:pPr>
      <w:r>
        <w:rPr>
          <w:rFonts w:hint="eastAsia" w:ascii="仿宋" w:hAnsi="仿宋" w:eastAsia="仿宋"/>
          <w:b w:val="0"/>
          <w:sz w:val="30"/>
          <w:szCs w:val="30"/>
        </w:rPr>
        <w:t>4、设施运营管理方面（第十</w:t>
      </w:r>
      <w:r>
        <w:rPr>
          <w:rFonts w:hint="eastAsia" w:ascii="仿宋" w:hAnsi="仿宋" w:eastAsia="仿宋"/>
          <w:b w:val="0"/>
          <w:sz w:val="30"/>
          <w:szCs w:val="30"/>
          <w:lang w:eastAsia="zh-CN"/>
        </w:rPr>
        <w:t>五</w:t>
      </w:r>
      <w:r>
        <w:rPr>
          <w:rFonts w:hint="eastAsia" w:ascii="仿宋" w:hAnsi="仿宋" w:eastAsia="仿宋"/>
          <w:b w:val="0"/>
          <w:sz w:val="30"/>
          <w:szCs w:val="30"/>
        </w:rPr>
        <w:t>条-第十</w:t>
      </w:r>
      <w:r>
        <w:rPr>
          <w:rFonts w:hint="eastAsia" w:ascii="仿宋" w:hAnsi="仿宋" w:eastAsia="仿宋"/>
          <w:b w:val="0"/>
          <w:sz w:val="30"/>
          <w:szCs w:val="30"/>
          <w:lang w:eastAsia="zh-CN"/>
        </w:rPr>
        <w:t>六</w:t>
      </w:r>
      <w:r>
        <w:rPr>
          <w:rFonts w:hint="eastAsia" w:ascii="仿宋" w:hAnsi="仿宋" w:eastAsia="仿宋"/>
          <w:b w:val="0"/>
          <w:sz w:val="30"/>
          <w:szCs w:val="30"/>
        </w:rPr>
        <w:t>条）。加强海绵城市建设后使用管理，从配合公共利益、日常管理和维护等进行了相关规定。一是明确了由哪些行政</w:t>
      </w:r>
      <w:r>
        <w:rPr>
          <w:rFonts w:ascii="仿宋" w:hAnsi="仿宋" w:eastAsia="仿宋"/>
          <w:b w:val="0"/>
          <w:sz w:val="30"/>
          <w:szCs w:val="30"/>
        </w:rPr>
        <w:t>管理部门</w:t>
      </w:r>
      <w:r>
        <w:rPr>
          <w:rFonts w:hint="eastAsia" w:ascii="仿宋" w:hAnsi="仿宋" w:eastAsia="仿宋"/>
          <w:b w:val="0"/>
          <w:sz w:val="30"/>
          <w:szCs w:val="30"/>
        </w:rPr>
        <w:t>牵头制定不同领域海绵城市建设设施的运营维护管理制度；二是明确了海绵城市建设设施营运管理</w:t>
      </w:r>
      <w:r>
        <w:rPr>
          <w:rFonts w:ascii="仿宋" w:hAnsi="仿宋" w:eastAsia="仿宋"/>
          <w:b w:val="0"/>
          <w:sz w:val="30"/>
          <w:szCs w:val="30"/>
        </w:rPr>
        <w:t>经费的</w:t>
      </w:r>
      <w:r>
        <w:rPr>
          <w:rFonts w:hint="eastAsia" w:ascii="仿宋" w:hAnsi="仿宋" w:eastAsia="仿宋"/>
          <w:b w:val="0"/>
          <w:sz w:val="30"/>
          <w:szCs w:val="30"/>
        </w:rPr>
        <w:t>来源</w:t>
      </w:r>
      <w:r>
        <w:rPr>
          <w:rFonts w:ascii="仿宋" w:hAnsi="仿宋" w:eastAsia="仿宋"/>
          <w:b w:val="0"/>
          <w:sz w:val="30"/>
          <w:szCs w:val="30"/>
        </w:rPr>
        <w:t>；三是</w:t>
      </w:r>
      <w:r>
        <w:rPr>
          <w:rFonts w:hint="eastAsia" w:ascii="仿宋" w:hAnsi="仿宋" w:eastAsia="仿宋"/>
          <w:b w:val="0"/>
          <w:sz w:val="30"/>
          <w:szCs w:val="30"/>
        </w:rPr>
        <w:t>明确了海绵城市设施维护管理单位</w:t>
      </w:r>
      <w:r>
        <w:rPr>
          <w:rFonts w:ascii="仿宋" w:hAnsi="仿宋" w:eastAsia="仿宋"/>
          <w:b w:val="0"/>
          <w:sz w:val="30"/>
          <w:szCs w:val="30"/>
        </w:rPr>
        <w:t>的工作内容</w:t>
      </w:r>
      <w:r>
        <w:rPr>
          <w:rFonts w:hint="eastAsia" w:ascii="仿宋" w:hAnsi="仿宋" w:eastAsia="仿宋"/>
          <w:b w:val="0"/>
          <w:sz w:val="30"/>
          <w:szCs w:val="30"/>
        </w:rPr>
        <w:t>。</w:t>
      </w:r>
    </w:p>
    <w:p>
      <w:pPr>
        <w:ind w:firstLine="600"/>
        <w:rPr>
          <w:rFonts w:ascii="仿宋" w:hAnsi="仿宋" w:eastAsia="仿宋"/>
          <w:b w:val="0"/>
          <w:sz w:val="30"/>
          <w:szCs w:val="30"/>
        </w:rPr>
      </w:pPr>
      <w:r>
        <w:rPr>
          <w:rFonts w:hint="eastAsia" w:ascii="仿宋" w:hAnsi="仿宋" w:eastAsia="仿宋"/>
          <w:b w:val="0"/>
          <w:sz w:val="30"/>
          <w:szCs w:val="30"/>
        </w:rPr>
        <w:t>5、其他方面（第</w:t>
      </w:r>
      <w:r>
        <w:rPr>
          <w:rFonts w:hint="eastAsia" w:ascii="仿宋" w:hAnsi="仿宋" w:eastAsia="仿宋"/>
          <w:b w:val="0"/>
          <w:sz w:val="30"/>
          <w:szCs w:val="30"/>
          <w:lang w:eastAsia="zh-CN"/>
        </w:rPr>
        <w:t>十七</w:t>
      </w:r>
      <w:r>
        <w:rPr>
          <w:rFonts w:hint="eastAsia" w:ascii="仿宋" w:hAnsi="仿宋" w:eastAsia="仿宋"/>
          <w:b w:val="0"/>
          <w:sz w:val="30"/>
          <w:szCs w:val="30"/>
        </w:rPr>
        <w:t>条-第</w:t>
      </w:r>
      <w:r>
        <w:rPr>
          <w:rFonts w:hint="eastAsia" w:ascii="仿宋" w:hAnsi="仿宋" w:eastAsia="仿宋"/>
          <w:b w:val="0"/>
          <w:sz w:val="30"/>
          <w:szCs w:val="30"/>
          <w:lang w:eastAsia="zh-CN"/>
        </w:rPr>
        <w:t>十九</w:t>
      </w:r>
      <w:r>
        <w:rPr>
          <w:rFonts w:hint="eastAsia" w:ascii="仿宋" w:hAnsi="仿宋" w:eastAsia="仿宋"/>
          <w:b w:val="0"/>
          <w:sz w:val="30"/>
          <w:szCs w:val="30"/>
        </w:rPr>
        <w:t>条）。为保障海绵城市建设</w:t>
      </w:r>
      <w:r>
        <w:rPr>
          <w:rFonts w:ascii="仿宋" w:hAnsi="仿宋" w:eastAsia="仿宋"/>
          <w:b w:val="0"/>
          <w:sz w:val="30"/>
          <w:szCs w:val="30"/>
        </w:rPr>
        <w:t>的顺利实施，</w:t>
      </w:r>
      <w:r>
        <w:rPr>
          <w:rFonts w:hint="eastAsia" w:ascii="仿宋" w:hAnsi="仿宋" w:eastAsia="仿宋"/>
          <w:b w:val="0"/>
          <w:sz w:val="30"/>
          <w:szCs w:val="30"/>
        </w:rPr>
        <w:t>结合</w:t>
      </w:r>
      <w:r>
        <w:rPr>
          <w:rFonts w:ascii="仿宋" w:hAnsi="仿宋" w:eastAsia="仿宋"/>
          <w:b w:val="0"/>
          <w:sz w:val="30"/>
          <w:szCs w:val="30"/>
        </w:rPr>
        <w:t>佛山各区的特点</w:t>
      </w:r>
      <w:r>
        <w:rPr>
          <w:rFonts w:hint="eastAsia" w:ascii="仿宋" w:hAnsi="仿宋" w:eastAsia="仿宋"/>
          <w:b w:val="0"/>
          <w:sz w:val="30"/>
          <w:szCs w:val="30"/>
        </w:rPr>
        <w:t>，各区可参考本办法，结合实际情况因地制宜制定各区的实施意见。</w:t>
      </w:r>
    </w:p>
    <w:p>
      <w:pPr>
        <w:ind w:firstLine="198" w:firstLineChars="66"/>
        <w:rPr>
          <w:rFonts w:hint="eastAsia" w:ascii="仿宋" w:hAnsi="仿宋" w:eastAsia="仿宋"/>
          <w:b w:val="0"/>
          <w:sz w:val="30"/>
          <w:szCs w:val="30"/>
        </w:rPr>
      </w:pPr>
    </w:p>
    <w:p>
      <w:pPr>
        <w:ind w:firstLine="0" w:firstLineChars="0"/>
        <w:rPr>
          <w:rFonts w:hint="eastAsia" w:ascii="仿宋" w:hAnsi="仿宋" w:eastAsia="仿宋"/>
          <w:bCs w:val="0"/>
          <w:sz w:val="30"/>
          <w:szCs w:val="30"/>
        </w:rPr>
      </w:pPr>
      <w:r>
        <w:rPr>
          <w:rFonts w:hint="eastAsia" w:ascii="仿宋" w:hAnsi="仿宋" w:eastAsia="仿宋"/>
          <w:bCs w:val="0"/>
          <w:sz w:val="30"/>
          <w:szCs w:val="30"/>
        </w:rPr>
        <w:t>五、部门法制工作机构审查意见</w:t>
      </w:r>
    </w:p>
    <w:p>
      <w:pPr>
        <w:ind w:firstLine="0" w:firstLineChars="0"/>
        <w:rPr>
          <w:rFonts w:hint="eastAsia" w:ascii="仿宋" w:hAnsi="仿宋" w:eastAsia="仿宋"/>
          <w:b w:val="0"/>
          <w:sz w:val="30"/>
          <w:szCs w:val="30"/>
        </w:rPr>
      </w:pPr>
      <w:r>
        <w:rPr>
          <w:rFonts w:hint="eastAsia" w:ascii="仿宋" w:hAnsi="仿宋" w:eastAsia="仿宋"/>
          <w:bCs w:val="0"/>
          <w:sz w:val="30"/>
          <w:szCs w:val="30"/>
        </w:rPr>
        <w:t xml:space="preserve">  </w:t>
      </w:r>
      <w:r>
        <w:rPr>
          <w:rFonts w:hint="eastAsia" w:ascii="仿宋" w:hAnsi="仿宋" w:eastAsia="仿宋"/>
          <w:b w:val="0"/>
          <w:sz w:val="30"/>
          <w:szCs w:val="30"/>
        </w:rPr>
        <w:t xml:space="preserve"> 《佛山市海绵城市规划建设管理办法》（征求意见稿）符合《中华人民共和国城乡规划法》《中华人民共和国建筑法》《中华人民共和国水法》《建设工程质量管理条例》和《国务院关于加强城市基础设施建设的意见》（国发〔2013〕36号）等法律法规及有关政策性文件的规定，部门法制机构同意经局领导讨论后，作为政府规范性文件报市司法局审查。（详见附件）</w:t>
      </w:r>
    </w:p>
    <w:p>
      <w:pPr>
        <w:ind w:firstLine="0" w:firstLineChars="0"/>
        <w:rPr>
          <w:rFonts w:hint="eastAsia" w:ascii="仿宋" w:hAnsi="仿宋" w:eastAsia="仿宋"/>
          <w:b w:val="0"/>
          <w:sz w:val="30"/>
          <w:szCs w:val="30"/>
        </w:rPr>
      </w:pPr>
    </w:p>
    <w:p>
      <w:pPr>
        <w:ind w:firstLine="0" w:firstLineChars="0"/>
        <w:rPr>
          <w:rFonts w:hint="eastAsia" w:ascii="仿宋" w:hAnsi="仿宋" w:eastAsia="仿宋"/>
          <w:bCs w:val="0"/>
          <w:sz w:val="30"/>
          <w:szCs w:val="30"/>
        </w:rPr>
      </w:pPr>
      <w:r>
        <w:rPr>
          <w:rFonts w:hint="eastAsia" w:ascii="仿宋" w:hAnsi="仿宋" w:eastAsia="仿宋"/>
          <w:bCs w:val="0"/>
          <w:sz w:val="30"/>
          <w:szCs w:val="30"/>
        </w:rPr>
        <w:t>六、行政系统内征求意见的采纳情况说明</w:t>
      </w:r>
    </w:p>
    <w:p>
      <w:pPr>
        <w:ind w:firstLine="0" w:firstLineChars="0"/>
        <w:rPr>
          <w:rFonts w:hint="eastAsia" w:ascii="仿宋" w:hAnsi="仿宋" w:eastAsia="仿宋"/>
          <w:b w:val="0"/>
          <w:sz w:val="30"/>
          <w:szCs w:val="30"/>
          <w:lang w:eastAsia="zh-CN"/>
        </w:rPr>
      </w:pPr>
      <w:r>
        <w:rPr>
          <w:rFonts w:hint="eastAsia" w:ascii="仿宋" w:hAnsi="仿宋" w:eastAsia="仿宋"/>
          <w:b w:val="0"/>
          <w:sz w:val="30"/>
          <w:szCs w:val="30"/>
        </w:rPr>
        <w:t xml:space="preserve">    该办法在行政系统内已征求二轮意见。通过对征求意见的修改，大部分部门对该办法无修改意见。对部分部门提出合理建议予以采纳，对涉及不采纳的意见均予以回复。（详见附件：《佛山市海绵城市规划建设管理办法》（第二次征求意见稿）意见收集及采纳情况表</w:t>
      </w:r>
      <w:r>
        <w:rPr>
          <w:rFonts w:hint="eastAsia" w:ascii="仿宋" w:hAnsi="仿宋" w:eastAsia="仿宋"/>
          <w:b w:val="0"/>
          <w:sz w:val="30"/>
          <w:szCs w:val="30"/>
          <w:lang w:eastAsia="zh-CN"/>
        </w:rPr>
        <w:t>，市司法局审查意见及回复情况文件）。</w:t>
      </w:r>
    </w:p>
    <w:p>
      <w:pPr>
        <w:ind w:firstLine="0" w:firstLineChars="0"/>
        <w:rPr>
          <w:rFonts w:hint="eastAsia" w:ascii="仿宋" w:hAnsi="仿宋" w:eastAsia="仿宋"/>
          <w:b w:val="0"/>
          <w:sz w:val="30"/>
          <w:szCs w:val="30"/>
        </w:rPr>
      </w:pPr>
    </w:p>
    <w:p>
      <w:pPr>
        <w:ind w:firstLine="0" w:firstLineChars="0"/>
        <w:rPr>
          <w:rFonts w:hint="eastAsia" w:ascii="仿宋" w:hAnsi="仿宋" w:eastAsia="仿宋"/>
          <w:bCs w:val="0"/>
          <w:sz w:val="30"/>
          <w:szCs w:val="30"/>
        </w:rPr>
      </w:pPr>
      <w:r>
        <w:rPr>
          <w:rFonts w:hint="eastAsia" w:ascii="仿宋" w:hAnsi="仿宋" w:eastAsia="仿宋"/>
          <w:bCs w:val="0"/>
          <w:sz w:val="30"/>
          <w:szCs w:val="30"/>
        </w:rPr>
        <w:t>七、公开征求意见的采纳情况说明</w:t>
      </w:r>
    </w:p>
    <w:p>
      <w:pPr>
        <w:ind w:firstLine="0" w:firstLineChars="0"/>
        <w:rPr>
          <w:rFonts w:ascii="仿宋" w:hAnsi="仿宋" w:eastAsia="仿宋"/>
          <w:b w:val="0"/>
          <w:sz w:val="30"/>
          <w:szCs w:val="30"/>
        </w:rPr>
      </w:pPr>
      <w:r>
        <w:rPr>
          <w:rFonts w:hint="eastAsia" w:ascii="仿宋" w:hAnsi="仿宋" w:eastAsia="仿宋"/>
          <w:bCs w:val="0"/>
          <w:sz w:val="30"/>
          <w:szCs w:val="30"/>
        </w:rPr>
        <w:t xml:space="preserve">    </w:t>
      </w:r>
      <w:r>
        <w:rPr>
          <w:rFonts w:hint="eastAsia" w:ascii="仿宋" w:hAnsi="仿宋" w:eastAsia="仿宋"/>
          <w:b w:val="0"/>
          <w:sz w:val="30"/>
          <w:szCs w:val="30"/>
        </w:rPr>
        <w:t>2020年5月25日至2020年6月8日，该办法于佛山市政府门户网站和佛山市自然资源局网站公开征求公众意见，公示期间无异议。</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630B1"/>
    <w:multiLevelType w:val="multilevel"/>
    <w:tmpl w:val="22C630B1"/>
    <w:lvl w:ilvl="0" w:tentative="0">
      <w:start w:val="1"/>
      <w:numFmt w:val="decimal"/>
      <w:pStyle w:val="3"/>
      <w:lvlText w:val="%1.1"/>
      <w:lvlJc w:val="left"/>
      <w:pPr>
        <w:ind w:left="1322" w:hanging="420"/>
      </w:pPr>
      <w:rPr>
        <w:rFonts w:hint="eastAsia"/>
      </w:rPr>
    </w:lvl>
    <w:lvl w:ilvl="1" w:tentative="0">
      <w:start w:val="1"/>
      <w:numFmt w:val="lowerLetter"/>
      <w:lvlText w:val="%2)"/>
      <w:lvlJc w:val="left"/>
      <w:pPr>
        <w:ind w:left="1742" w:hanging="420"/>
      </w:pPr>
    </w:lvl>
    <w:lvl w:ilvl="2" w:tentative="0">
      <w:start w:val="1"/>
      <w:numFmt w:val="lowerRoman"/>
      <w:lvlText w:val="%3."/>
      <w:lvlJc w:val="right"/>
      <w:pPr>
        <w:ind w:left="2162" w:hanging="420"/>
      </w:pPr>
    </w:lvl>
    <w:lvl w:ilvl="3" w:tentative="0">
      <w:start w:val="1"/>
      <w:numFmt w:val="decimal"/>
      <w:lvlText w:val="%4."/>
      <w:lvlJc w:val="left"/>
      <w:pPr>
        <w:ind w:left="2582" w:hanging="420"/>
      </w:pPr>
    </w:lvl>
    <w:lvl w:ilvl="4" w:tentative="0">
      <w:start w:val="1"/>
      <w:numFmt w:val="lowerLetter"/>
      <w:lvlText w:val="%5)"/>
      <w:lvlJc w:val="left"/>
      <w:pPr>
        <w:ind w:left="3002" w:hanging="420"/>
      </w:pPr>
    </w:lvl>
    <w:lvl w:ilvl="5" w:tentative="0">
      <w:start w:val="1"/>
      <w:numFmt w:val="lowerRoman"/>
      <w:lvlText w:val="%6."/>
      <w:lvlJc w:val="right"/>
      <w:pPr>
        <w:ind w:left="3422" w:hanging="420"/>
      </w:pPr>
    </w:lvl>
    <w:lvl w:ilvl="6" w:tentative="0">
      <w:start w:val="1"/>
      <w:numFmt w:val="decimal"/>
      <w:lvlText w:val="%7."/>
      <w:lvlJc w:val="left"/>
      <w:pPr>
        <w:ind w:left="3842" w:hanging="420"/>
      </w:pPr>
    </w:lvl>
    <w:lvl w:ilvl="7" w:tentative="0">
      <w:start w:val="1"/>
      <w:numFmt w:val="lowerLetter"/>
      <w:lvlText w:val="%8)"/>
      <w:lvlJc w:val="left"/>
      <w:pPr>
        <w:ind w:left="4262" w:hanging="420"/>
      </w:pPr>
    </w:lvl>
    <w:lvl w:ilvl="8" w:tentative="0">
      <w:start w:val="1"/>
      <w:numFmt w:val="lowerRoman"/>
      <w:lvlText w:val="%9."/>
      <w:lvlJc w:val="right"/>
      <w:pPr>
        <w:ind w:left="468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823"/>
    <w:rsid w:val="000048CC"/>
    <w:rsid w:val="00034912"/>
    <w:rsid w:val="000B7F34"/>
    <w:rsid w:val="000F4CE0"/>
    <w:rsid w:val="00104177"/>
    <w:rsid w:val="0010699C"/>
    <w:rsid w:val="00110C67"/>
    <w:rsid w:val="0015682E"/>
    <w:rsid w:val="00195DD6"/>
    <w:rsid w:val="001967DD"/>
    <w:rsid w:val="00196BD8"/>
    <w:rsid w:val="001D771A"/>
    <w:rsid w:val="002348AA"/>
    <w:rsid w:val="002444B7"/>
    <w:rsid w:val="00270197"/>
    <w:rsid w:val="002804C6"/>
    <w:rsid w:val="002C59A1"/>
    <w:rsid w:val="00334995"/>
    <w:rsid w:val="00386ED1"/>
    <w:rsid w:val="003A27A9"/>
    <w:rsid w:val="003B7823"/>
    <w:rsid w:val="003D468D"/>
    <w:rsid w:val="003E0668"/>
    <w:rsid w:val="003E3A81"/>
    <w:rsid w:val="00423A82"/>
    <w:rsid w:val="00453DD6"/>
    <w:rsid w:val="004621A0"/>
    <w:rsid w:val="004A103F"/>
    <w:rsid w:val="004A5FE1"/>
    <w:rsid w:val="004F1D0D"/>
    <w:rsid w:val="005140AB"/>
    <w:rsid w:val="00570A11"/>
    <w:rsid w:val="005800AB"/>
    <w:rsid w:val="00593456"/>
    <w:rsid w:val="005F287A"/>
    <w:rsid w:val="006220D4"/>
    <w:rsid w:val="0064667F"/>
    <w:rsid w:val="00670718"/>
    <w:rsid w:val="006C1AEC"/>
    <w:rsid w:val="006D3E23"/>
    <w:rsid w:val="006E03DA"/>
    <w:rsid w:val="00754092"/>
    <w:rsid w:val="007951C6"/>
    <w:rsid w:val="007B0D29"/>
    <w:rsid w:val="007C065E"/>
    <w:rsid w:val="007F1C5E"/>
    <w:rsid w:val="00803F32"/>
    <w:rsid w:val="00831414"/>
    <w:rsid w:val="00833347"/>
    <w:rsid w:val="00836F5C"/>
    <w:rsid w:val="00855FC5"/>
    <w:rsid w:val="008B2075"/>
    <w:rsid w:val="008C3CF0"/>
    <w:rsid w:val="009958CF"/>
    <w:rsid w:val="009B3037"/>
    <w:rsid w:val="009C601D"/>
    <w:rsid w:val="009E3263"/>
    <w:rsid w:val="00AA53B3"/>
    <w:rsid w:val="00B537D2"/>
    <w:rsid w:val="00BD4013"/>
    <w:rsid w:val="00BE4DEF"/>
    <w:rsid w:val="00C205BD"/>
    <w:rsid w:val="00C26A5A"/>
    <w:rsid w:val="00C55C60"/>
    <w:rsid w:val="00C642FA"/>
    <w:rsid w:val="00CA46A9"/>
    <w:rsid w:val="00CE27AF"/>
    <w:rsid w:val="00D03047"/>
    <w:rsid w:val="00D71469"/>
    <w:rsid w:val="00E5057C"/>
    <w:rsid w:val="00EB3648"/>
    <w:rsid w:val="00F40B69"/>
    <w:rsid w:val="00F53D6B"/>
    <w:rsid w:val="00FE0FE9"/>
    <w:rsid w:val="00FF7327"/>
    <w:rsid w:val="021216F2"/>
    <w:rsid w:val="08B95CA9"/>
    <w:rsid w:val="097C4BAF"/>
    <w:rsid w:val="10911088"/>
    <w:rsid w:val="10CD1E06"/>
    <w:rsid w:val="355B38A4"/>
    <w:rsid w:val="371405CB"/>
    <w:rsid w:val="41DA3957"/>
    <w:rsid w:val="44085D09"/>
    <w:rsid w:val="453A3715"/>
    <w:rsid w:val="485C41B3"/>
    <w:rsid w:val="4FB85666"/>
    <w:rsid w:val="5D1B056D"/>
    <w:rsid w:val="685C76C3"/>
    <w:rsid w:val="6DD247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imes New Roman" w:hAnsi="Times New Roman" w:eastAsia="宋体" w:cs="Times New Roman"/>
      <w:b/>
      <w:bCs/>
      <w:kern w:val="2"/>
      <w:sz w:val="32"/>
      <w:szCs w:val="24"/>
      <w:lang w:val="en-US" w:eastAsia="zh-CN" w:bidi="ar-SA"/>
    </w:rPr>
  </w:style>
  <w:style w:type="paragraph" w:styleId="2">
    <w:name w:val="heading 1"/>
    <w:basedOn w:val="1"/>
    <w:next w:val="1"/>
    <w:link w:val="9"/>
    <w:qFormat/>
    <w:uiPriority w:val="0"/>
    <w:pPr>
      <w:keepNext/>
      <w:keepLines/>
      <w:spacing w:before="100" w:beforeAutospacing="1" w:after="100" w:afterAutospacing="1"/>
      <w:ind w:firstLine="100" w:firstLineChars="100"/>
      <w:outlineLvl w:val="0"/>
    </w:pPr>
    <w:rPr>
      <w:rFonts w:eastAsia="仿宋"/>
      <w:b w:val="0"/>
      <w:kern w:val="44"/>
      <w:sz w:val="44"/>
    </w:rPr>
  </w:style>
  <w:style w:type="paragraph" w:styleId="3">
    <w:name w:val="heading 2"/>
    <w:basedOn w:val="1"/>
    <w:next w:val="1"/>
    <w:link w:val="8"/>
    <w:unhideWhenUsed/>
    <w:qFormat/>
    <w:uiPriority w:val="0"/>
    <w:pPr>
      <w:keepNext/>
      <w:keepLines/>
      <w:numPr>
        <w:ilvl w:val="0"/>
        <w:numId w:val="1"/>
      </w:numPr>
      <w:ind w:firstLine="0" w:firstLineChars="0"/>
      <w:outlineLvl w:val="1"/>
    </w:pPr>
    <w:rPr>
      <w:b w:val="0"/>
      <w:bCs w:val="0"/>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标题 2 Char"/>
    <w:basedOn w:val="7"/>
    <w:link w:val="3"/>
    <w:qFormat/>
    <w:uiPriority w:val="0"/>
    <w:rPr>
      <w:rFonts w:ascii="Times New Roman" w:hAnsi="Times New Roman" w:eastAsia="宋体" w:cs="Times New Roman"/>
      <w:szCs w:val="24"/>
    </w:rPr>
  </w:style>
  <w:style w:type="character" w:customStyle="1" w:styleId="9">
    <w:name w:val="标题 1 Char"/>
    <w:basedOn w:val="7"/>
    <w:link w:val="2"/>
    <w:qFormat/>
    <w:uiPriority w:val="0"/>
    <w:rPr>
      <w:rFonts w:ascii="Times New Roman" w:hAnsi="Times New Roman" w:eastAsia="仿宋" w:cs="Times New Roman"/>
      <w:bCs/>
      <w:kern w:val="44"/>
      <w:sz w:val="44"/>
      <w:szCs w:val="24"/>
    </w:rPr>
  </w:style>
  <w:style w:type="character" w:customStyle="1" w:styleId="10">
    <w:name w:val="页眉 Char"/>
    <w:basedOn w:val="7"/>
    <w:link w:val="5"/>
    <w:qFormat/>
    <w:uiPriority w:val="99"/>
    <w:rPr>
      <w:rFonts w:ascii="Times New Roman" w:hAnsi="Times New Roman" w:eastAsia="宋体" w:cs="Times New Roman"/>
      <w:b/>
      <w:bCs/>
      <w:sz w:val="18"/>
      <w:szCs w:val="18"/>
    </w:rPr>
  </w:style>
  <w:style w:type="character" w:customStyle="1" w:styleId="11">
    <w:name w:val="页脚 Char"/>
    <w:basedOn w:val="7"/>
    <w:link w:val="4"/>
    <w:qFormat/>
    <w:uiPriority w:val="99"/>
    <w:rPr>
      <w:rFonts w:ascii="Times New Roman" w:hAnsi="Times New Roman" w:eastAsia="宋体" w:cs="Times New Roman"/>
      <w:b/>
      <w:bCs/>
      <w:sz w:val="18"/>
      <w:szCs w:val="18"/>
    </w:rPr>
  </w:style>
  <w:style w:type="paragraph" w:styleId="12">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319</Words>
  <Characters>1823</Characters>
  <Lines>15</Lines>
  <Paragraphs>4</Paragraphs>
  <TotalTime>22</TotalTime>
  <ScaleCrop>false</ScaleCrop>
  <LinksUpToDate>false</LinksUpToDate>
  <CharactersWithSpaces>2138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2016-11-24T09:38:00Z</dcterms:created>
  <dc:creator>Microsoft</dc:creator>
  <cp:lastModifiedBy>万恶的小倩、</cp:lastModifiedBy>
  <dcterms:modified xsi:type="dcterms:W3CDTF">2021-06-18T09:44:36Z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